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4"/>
        <w:gridCol w:w="6021"/>
      </w:tblGrid>
      <w:tr w:rsidR="00757EFC" w:rsidRPr="00AA521E" w:rsidTr="005E4D11">
        <w:trPr>
          <w:cantSplit/>
          <w:trHeight w:val="420"/>
        </w:trPr>
        <w:tc>
          <w:tcPr>
            <w:tcW w:w="1754" w:type="pct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57EFC" w:rsidRPr="00DE4144" w:rsidRDefault="00757EFC" w:rsidP="005E4D11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E4144">
              <w:rPr>
                <w:rFonts w:ascii="Arial" w:hAnsi="Arial" w:cs="Arial"/>
                <w:sz w:val="20"/>
                <w:szCs w:val="20"/>
                <w:lang w:val="pl-PL"/>
              </w:rPr>
              <w:t>NR I NAZWA DZIAŁANIA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57EFC" w:rsidRPr="00131B6D" w:rsidRDefault="00757EFC" w:rsidP="005E4D11">
            <w:pPr>
              <w:pStyle w:val="Nagwek2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Toc427586076"/>
            <w:bookmarkStart w:id="1" w:name="_Toc429752154"/>
            <w:r w:rsidRPr="00131B6D">
              <w:rPr>
                <w:rFonts w:ascii="Arial" w:hAnsi="Arial" w:cs="Arial"/>
                <w:sz w:val="20"/>
                <w:szCs w:val="20"/>
              </w:rPr>
              <w:t>Działanie 10.2 Aktywizacja zawodowa osób pozostających bez zatrudnienia – projekty konkursowe</w:t>
            </w:r>
            <w:bookmarkEnd w:id="0"/>
            <w:bookmarkEnd w:id="1"/>
            <w:r w:rsidRPr="00131B6D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</w:p>
        </w:tc>
      </w:tr>
      <w:tr w:rsidR="00757EFC" w:rsidRPr="009708C4" w:rsidTr="005E4D11">
        <w:trPr>
          <w:cantSplit/>
          <w:trHeight w:val="289"/>
        </w:trPr>
        <w:tc>
          <w:tcPr>
            <w:tcW w:w="1754" w:type="pct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57EFC" w:rsidRPr="00D74094" w:rsidRDefault="00757EFC" w:rsidP="005E4D11">
            <w:pPr>
              <w:spacing w:before="120" w:after="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NR I NAZWA PODDZIAŁANIA</w:t>
            </w:r>
          </w:p>
          <w:p w:rsidR="00757EFC" w:rsidRPr="009642A5" w:rsidRDefault="00757EFC" w:rsidP="005E4D11">
            <w:pPr>
              <w:spacing w:after="120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642A5">
              <w:rPr>
                <w:rFonts w:ascii="Arial" w:hAnsi="Arial" w:cs="Arial"/>
                <w:sz w:val="20"/>
                <w:szCs w:val="20"/>
                <w:lang w:val="pl-PL"/>
              </w:rPr>
              <w:t>(jeżeli dotyczy)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57EFC" w:rsidRPr="00D74094" w:rsidRDefault="00757EFC" w:rsidP="005E4D11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dotyczy</w:t>
            </w:r>
            <w:proofErr w:type="spellEnd"/>
          </w:p>
        </w:tc>
      </w:tr>
      <w:tr w:rsidR="00757EFC" w:rsidRPr="00AA521E" w:rsidTr="005E4D11">
        <w:trPr>
          <w:cantSplit/>
          <w:trHeight w:val="393"/>
        </w:trPr>
        <w:tc>
          <w:tcPr>
            <w:tcW w:w="17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D74094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284"/>
              </w:tabs>
              <w:suppressAutoHyphens/>
              <w:spacing w:before="120" w:after="120"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Nr i nazwa celu tematycznego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</w:tcPr>
          <w:p w:rsidR="00757EFC" w:rsidRPr="00D74094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Cel tematyczny 8 </w:t>
            </w:r>
            <w:r w:rsidRPr="00B31A52">
              <w:rPr>
                <w:rFonts w:ascii="Arial" w:hAnsi="Arial" w:cs="Arial"/>
                <w:lang w:val="pl-PL"/>
              </w:rPr>
              <w:t>–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 Promowanie trwałego i wysokiej jakości zatrudnienia oraz wsparcie mobilności pracowników.</w:t>
            </w:r>
          </w:p>
        </w:tc>
      </w:tr>
      <w:tr w:rsidR="00757EFC" w:rsidRPr="00AA521E" w:rsidTr="005E4D11">
        <w:trPr>
          <w:cantSplit/>
          <w:trHeight w:val="393"/>
        </w:trPr>
        <w:tc>
          <w:tcPr>
            <w:tcW w:w="17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D74094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284"/>
              </w:tabs>
              <w:suppressAutoHyphens/>
              <w:spacing w:before="120" w:after="120"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Nr i nazwa priorytetu inwestycyjnego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</w:tcPr>
          <w:p w:rsidR="00757EFC" w:rsidRPr="00D74094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Priorytet inwestycyjny 8i </w:t>
            </w:r>
            <w:r w:rsidRPr="00B31A52">
              <w:rPr>
                <w:rFonts w:ascii="Arial" w:hAnsi="Arial" w:cs="Arial"/>
                <w:lang w:val="pl-PL"/>
              </w:rPr>
              <w:t>–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 Dostęp do zatrudnienia dla osób poszukujących pracy i osób biernych zawodowo, w tym długotrwale bezrobotnych oraz oddalonych od rynku pracy, także poprzez lokalne inicjatywy na rzecz zatrudnienia oraz wspieranie mobilności pracowników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757EFC" w:rsidRPr="00AA521E" w:rsidTr="005E4D11">
        <w:trPr>
          <w:cantSplit/>
          <w:trHeight w:val="393"/>
        </w:trPr>
        <w:tc>
          <w:tcPr>
            <w:tcW w:w="17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D74094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284"/>
              </w:tabs>
              <w:suppressAutoHyphens/>
              <w:spacing w:before="120" w:after="120"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Cel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/e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szczegółowy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>/e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</w:tcPr>
          <w:p w:rsidR="00757EFC" w:rsidRPr="00D74094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Zwiększenie zatrudnienia wśród osób bezrobotnych, poszukujących pracy i nieaktywnych zawodowo (zwłaszcza długotrwale bezrobotnych, niepełnosprawnych, powyżej 50 roku życia,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niskowykwalifikowanych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 oraz kobiet)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757EFC" w:rsidRPr="00AA521E" w:rsidTr="005E4D11">
        <w:trPr>
          <w:cantSplit/>
          <w:trHeight w:val="526"/>
        </w:trPr>
        <w:tc>
          <w:tcPr>
            <w:tcW w:w="17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D74094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284"/>
              </w:tabs>
              <w:suppressAutoHyphens/>
              <w:spacing w:before="120" w:after="120"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Lista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wskaźników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rezultatu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bezpośredniego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</w:tcPr>
          <w:p w:rsidR="00757EFC" w:rsidRPr="00D74094" w:rsidRDefault="00757EFC" w:rsidP="00757EFC">
            <w:pPr>
              <w:numPr>
                <w:ilvl w:val="0"/>
                <w:numId w:val="4"/>
              </w:numPr>
              <w:spacing w:before="120" w:after="0"/>
              <w:ind w:left="470" w:hanging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Liczba osób pracujących po opuszczeniu programu (łącznie z pracującymi na własny rachunek).</w:t>
            </w:r>
          </w:p>
          <w:p w:rsidR="00757EFC" w:rsidRPr="00FB1B46" w:rsidRDefault="00757EFC" w:rsidP="00757EFC">
            <w:pPr>
              <w:numPr>
                <w:ilvl w:val="0"/>
                <w:numId w:val="4"/>
              </w:numPr>
              <w:spacing w:after="120"/>
              <w:ind w:left="470" w:hanging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Liczba osób, które uzyskały kwalifikacje po opuszczeniu programu.</w:t>
            </w:r>
          </w:p>
        </w:tc>
      </w:tr>
      <w:tr w:rsidR="00757EFC" w:rsidRPr="00AA521E" w:rsidTr="005E4D11">
        <w:trPr>
          <w:cantSplit/>
          <w:trHeight w:val="340"/>
        </w:trPr>
        <w:tc>
          <w:tcPr>
            <w:tcW w:w="1754" w:type="pct"/>
            <w:shd w:val="clear" w:color="auto" w:fill="auto"/>
            <w:vAlign w:val="center"/>
          </w:tcPr>
          <w:p w:rsidR="00757EFC" w:rsidRPr="00D74094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284"/>
              </w:tabs>
              <w:suppressAutoHyphens/>
              <w:spacing w:before="120" w:after="120"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Lista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wskaźników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produktu</w:t>
            </w:r>
            <w:proofErr w:type="spellEnd"/>
          </w:p>
        </w:tc>
        <w:tc>
          <w:tcPr>
            <w:tcW w:w="3246" w:type="pct"/>
            <w:shd w:val="clear" w:color="auto" w:fill="auto"/>
          </w:tcPr>
          <w:p w:rsidR="00757EFC" w:rsidRPr="00D74094" w:rsidRDefault="00757EFC" w:rsidP="00757EFC">
            <w:pPr>
              <w:numPr>
                <w:ilvl w:val="0"/>
                <w:numId w:val="5"/>
              </w:numPr>
              <w:spacing w:before="120" w:after="0"/>
              <w:ind w:left="470" w:hanging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Liczba osób bezrobotnych (łącznie z długotrwale bezrobotnymi) objętych wsparciem w programie.</w:t>
            </w:r>
          </w:p>
          <w:p w:rsidR="00757EFC" w:rsidRPr="00D74094" w:rsidRDefault="00757EFC" w:rsidP="00757EFC">
            <w:pPr>
              <w:numPr>
                <w:ilvl w:val="0"/>
                <w:numId w:val="5"/>
              </w:numPr>
              <w:spacing w:after="0"/>
              <w:ind w:left="47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 długotrwale bezrobotnych objętych wsparciem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w programie.</w:t>
            </w:r>
          </w:p>
          <w:p w:rsidR="00757EFC" w:rsidRPr="00D74094" w:rsidRDefault="00757EFC" w:rsidP="00757EFC">
            <w:pPr>
              <w:numPr>
                <w:ilvl w:val="0"/>
                <w:numId w:val="5"/>
              </w:numPr>
              <w:spacing w:after="0"/>
              <w:ind w:left="47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 z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niepełnosprawnościami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 objętych wsparciem w programie.</w:t>
            </w:r>
          </w:p>
          <w:p w:rsidR="00757EFC" w:rsidRPr="00D74094" w:rsidRDefault="00757EFC" w:rsidP="00757EFC">
            <w:pPr>
              <w:numPr>
                <w:ilvl w:val="0"/>
                <w:numId w:val="5"/>
              </w:numPr>
              <w:spacing w:after="0"/>
              <w:ind w:left="47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Liczba osób w wieku 50 lat i więcej objętych wsparciem w programie.</w:t>
            </w:r>
          </w:p>
          <w:p w:rsidR="00757EFC" w:rsidRPr="00D74094" w:rsidRDefault="00757EFC" w:rsidP="00757EFC">
            <w:pPr>
              <w:numPr>
                <w:ilvl w:val="0"/>
                <w:numId w:val="5"/>
              </w:numPr>
              <w:spacing w:after="0"/>
              <w:ind w:left="471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osób biernych zawodowo objętych wsparciem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 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w programie.</w:t>
            </w:r>
          </w:p>
          <w:p w:rsidR="00757EFC" w:rsidRPr="00FB1B46" w:rsidRDefault="00757EFC" w:rsidP="00757EFC">
            <w:pPr>
              <w:numPr>
                <w:ilvl w:val="0"/>
                <w:numId w:val="5"/>
              </w:numPr>
              <w:spacing w:after="120"/>
              <w:ind w:left="465" w:hanging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Liczba osób o niskich kwalifikacjach objętych wsparciem w programie.</w:t>
            </w:r>
          </w:p>
        </w:tc>
      </w:tr>
      <w:tr w:rsidR="00757EFC" w:rsidRPr="00AA521E" w:rsidTr="005E4D11">
        <w:trPr>
          <w:cantSplit/>
          <w:trHeight w:val="12568"/>
        </w:trPr>
        <w:tc>
          <w:tcPr>
            <w:tcW w:w="1754" w:type="pct"/>
            <w:shd w:val="clear" w:color="auto" w:fill="auto"/>
            <w:vAlign w:val="center"/>
          </w:tcPr>
          <w:p w:rsidR="00757EFC" w:rsidRPr="00D74094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284"/>
              </w:tabs>
              <w:suppressAutoHyphens/>
              <w:spacing w:before="120" w:after="120"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lastRenderedPageBreak/>
              <w:t>Typy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74094">
              <w:rPr>
                <w:rFonts w:ascii="Arial" w:hAnsi="Arial" w:cs="Arial"/>
                <w:sz w:val="20"/>
                <w:szCs w:val="20"/>
              </w:rPr>
              <w:t>projektów</w:t>
            </w:r>
            <w:proofErr w:type="spellEnd"/>
            <w:r w:rsidRPr="00D740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AF55DE" w:rsidRDefault="00757EFC" w:rsidP="00757EFC">
            <w:pPr>
              <w:numPr>
                <w:ilvl w:val="0"/>
                <w:numId w:val="3"/>
              </w:numPr>
              <w:suppressAutoHyphens/>
              <w:spacing w:before="120" w:after="0"/>
              <w:ind w:left="329" w:hanging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Kompleksowe programy na rzecz aktywizacji zawodowej osób pozostających bez zatrudnienia uwzględniające instrumenty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 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i usługi rynku pracy wskazane w ustawie o promocji zatrudnienia i instytucjach 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rynku pracy lub inne działania zatrudnieniowe i usługi rynku pracy, które przyczyniają się do aktywizacji zawodowej. Projekty w zakresie aktywizacji zawodowej obejmują wszystkie niezbędne dla danego uczestnika formy pomocy mające na celu poprawę jego sytuacji na rynku pracy lub uzyskanie zatrudnienia, w tym:</w:t>
            </w:r>
          </w:p>
          <w:p w:rsidR="00757EFC" w:rsidRPr="00D74094" w:rsidRDefault="00757EFC" w:rsidP="00757EFC">
            <w:pPr>
              <w:numPr>
                <w:ilvl w:val="0"/>
                <w:numId w:val="7"/>
              </w:numPr>
              <w:spacing w:after="0"/>
              <w:ind w:left="599" w:hanging="28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wsparcie polegające na określeniu drogi </w:t>
            </w:r>
            <w:proofErr w:type="spellStart"/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rozwoju</w:t>
            </w:r>
            <w:proofErr w:type="spellEnd"/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 zawodowego, tj. identyfikacja potrzeb uczestnika projektu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(w tym m.in. poprzez diagnozowanie potrzeb szkoleniowych, możliwości doskonalenia zawodowego) oraz opracowaniem lub aktualizacją dla każdego uczestnika projektu Indywidualnego Planu Działania (lub innego dokumentu pełniącego analogiczną funkcję), doradztwo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 i poradnictwo zawodowe, adekwatnie do zidentyfikowanych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potrzeb, lub 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pomoc w znalezieniu pracy, czyli pośrednictwo pracy,</w:t>
            </w:r>
          </w:p>
          <w:p w:rsidR="00757EFC" w:rsidRPr="00D74094" w:rsidRDefault="00757EFC" w:rsidP="00757EFC">
            <w:pPr>
              <w:numPr>
                <w:ilvl w:val="0"/>
                <w:numId w:val="7"/>
              </w:numPr>
              <w:spacing w:after="0"/>
              <w:ind w:left="613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wsparcie umiejętności miękkich w formie szkoleń z zakresu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 aktywnego poszukiwania pracy oraz nabywania kompetencji kluczowych, wsparcie psychologiczno-doradcze,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mające na celu zlikwidowanie barier uniemożliwiających wejście na rynek pracy,</w:t>
            </w:r>
          </w:p>
          <w:p w:rsidR="00757EFC" w:rsidRDefault="00757EFC" w:rsidP="00757EFC">
            <w:pPr>
              <w:numPr>
                <w:ilvl w:val="0"/>
                <w:numId w:val="7"/>
              </w:numPr>
              <w:spacing w:after="120"/>
              <w:ind w:left="613" w:hanging="28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wsparcie ukierunkowane na podniesienie lub zdobycie nowych umiejętności, k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ompetencji lub kwalifikacji lub 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zdobycie nowego doświadczenia zawodowego, w tym staże i praktyki zawodowe, szkolenia, subsydiowanie zatrudnienia.</w:t>
            </w:r>
          </w:p>
          <w:p w:rsidR="00757EFC" w:rsidRPr="00AF55DE" w:rsidRDefault="00757EFC" w:rsidP="005E4D11">
            <w:pPr>
              <w:spacing w:before="120" w:after="0"/>
              <w:ind w:left="33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Wsparcie w ramach projektu nie może zostać ograniczone jedynie do wsparcia w zakresie określenia drogi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rozwoju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zawodowego, określonego w punkcie a) lub wsparcia umiejętności miękkich, określonego w punkcie b).</w:t>
            </w:r>
          </w:p>
          <w:p w:rsidR="00757EFC" w:rsidRPr="00AF55DE" w:rsidRDefault="00757EFC" w:rsidP="005E4D11">
            <w:pPr>
              <w:spacing w:before="120" w:after="0"/>
              <w:ind w:left="33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Wsparcie udzielane w ramach projektów jest dostosowane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do indywidualnych potrzeb uczestników projektów, wynikających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z ich aktualnego stanu wiedzy, doświadczenia, zdolności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i przeciwwskazań do wykonywania danego zawodu. </w:t>
            </w:r>
          </w:p>
          <w:p w:rsidR="00757EFC" w:rsidRPr="00521781" w:rsidRDefault="00757EFC" w:rsidP="005E4D11">
            <w:pPr>
              <w:autoSpaceDE w:val="0"/>
              <w:autoSpaceDN w:val="0"/>
              <w:adjustRightInd w:val="0"/>
              <w:spacing w:before="120" w:after="0"/>
              <w:ind w:left="316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Wsparcie w postaci staży realizowane w ramach projektów jest zgodne z zaleceniem Rady z dnia 10 marca 2014 r. w sprawie ram jakości staży (Dz. Urz. UE C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88 z 27.03.2014, str. 1) oraz z 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Polskimi Ramami Jakości Praktyk i Staży oraz spełnia podstawowe wymogi zapewniające wysoki standard stażu. </w:t>
            </w:r>
          </w:p>
          <w:p w:rsidR="00757EFC" w:rsidRPr="00521781" w:rsidRDefault="00757EFC" w:rsidP="005E4D11">
            <w:pPr>
              <w:autoSpaceDE w:val="0"/>
              <w:autoSpaceDN w:val="0"/>
              <w:adjustRightInd w:val="0"/>
              <w:spacing w:before="120" w:after="0"/>
              <w:ind w:left="316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color w:val="000000"/>
                <w:lang w:val="pl-PL" w:eastAsia="pl-PL" w:bidi="ar-SA"/>
              </w:rPr>
              <w:t xml:space="preserve">W 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przypadku zdiagnozowania potrzeb osoby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                   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z </w:t>
            </w:r>
            <w:proofErr w:type="spellStart"/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niepełnosprawnościami</w:t>
            </w:r>
            <w:proofErr w:type="spellEnd"/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 zapewniane jest wsparcie trenera pracy realizującego działania w zakresie zatrudnienia wspomaganego.</w:t>
            </w:r>
            <w:r w:rsidRPr="0052178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:rsidR="00757EFC" w:rsidRPr="00D755CF" w:rsidRDefault="00757EFC" w:rsidP="005E4D11">
            <w:pPr>
              <w:autoSpaceDE w:val="0"/>
              <w:autoSpaceDN w:val="0"/>
              <w:adjustRightInd w:val="0"/>
              <w:spacing w:before="120" w:after="0"/>
              <w:ind w:left="316"/>
              <w:rPr>
                <w:rFonts w:ascii="Arial" w:hAnsi="Arial" w:cs="Arial"/>
                <w:color w:val="000000"/>
                <w:lang w:val="pl-PL" w:eastAsia="pl-PL" w:bidi="ar-SA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Preferowane będą projekty stanowiące element zintegrowanego przedsięwzięcia rewitalizacyjnego oraz przedsięwzięcia zawarte w </w:t>
            </w:r>
            <w:r w:rsidRPr="00521781">
              <w:rPr>
                <w:rFonts w:ascii="Arial" w:hAnsi="Arial" w:cs="Arial"/>
                <w:sz w:val="20"/>
                <w:szCs w:val="20"/>
                <w:lang w:val="pl-PL"/>
              </w:rPr>
              <w:t xml:space="preserve">Programie rewitalizacji sieci miast </w:t>
            </w:r>
            <w:proofErr w:type="spellStart"/>
            <w:r w:rsidRPr="00521781">
              <w:rPr>
                <w:rFonts w:ascii="Arial" w:hAnsi="Arial" w:cs="Arial"/>
                <w:sz w:val="20"/>
                <w:szCs w:val="20"/>
                <w:lang w:val="pl-PL"/>
              </w:rPr>
              <w:t>Cittaslow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757EFC" w:rsidRPr="00AF55DE" w:rsidTr="005E4D11">
        <w:trPr>
          <w:cantSplit/>
          <w:trHeight w:val="351"/>
        </w:trPr>
        <w:tc>
          <w:tcPr>
            <w:tcW w:w="1754" w:type="pct"/>
            <w:shd w:val="clear" w:color="auto" w:fill="auto"/>
            <w:vAlign w:val="center"/>
          </w:tcPr>
          <w:p w:rsidR="00757EFC" w:rsidRPr="00D74094" w:rsidRDefault="00757EFC" w:rsidP="005E4D11">
            <w:pPr>
              <w:suppressAutoHyphens/>
              <w:spacing w:before="120" w:after="12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AF55DE" w:rsidRDefault="00757EFC" w:rsidP="00757EFC">
            <w:pPr>
              <w:numPr>
                <w:ilvl w:val="0"/>
                <w:numId w:val="6"/>
              </w:numPr>
              <w:spacing w:before="120" w:after="120"/>
              <w:ind w:left="329" w:hanging="357"/>
              <w:rPr>
                <w:rFonts w:ascii="Arial" w:hAnsi="Arial" w:cs="Arial"/>
                <w:sz w:val="20"/>
                <w:szCs w:val="20"/>
                <w:lang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Wdrażanie ukierunkowanych schematów mobilności transnarodowej (USMT) EURES zdiagnozowanych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       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na podstawie analiz społeczno-gospodarczych regionu (realizacja tego typu operacji ma charakter warunkowy, uzależniony od zd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iagnozowania branż, zawodów lub 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kompetencji, w których sytuacja na rynku pracy wymaga realizacji USMT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</w:tr>
      <w:tr w:rsidR="00757EFC" w:rsidRPr="00AA521E" w:rsidTr="005E4D11">
        <w:trPr>
          <w:cantSplit/>
          <w:trHeight w:val="351"/>
        </w:trPr>
        <w:tc>
          <w:tcPr>
            <w:tcW w:w="1754" w:type="pct"/>
            <w:shd w:val="clear" w:color="auto" w:fill="auto"/>
            <w:vAlign w:val="center"/>
          </w:tcPr>
          <w:p w:rsidR="00757EFC" w:rsidRPr="00D74094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284"/>
              </w:tabs>
              <w:suppressAutoHyphens/>
              <w:spacing w:before="120" w:after="120"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74094">
              <w:rPr>
                <w:rFonts w:ascii="Arial" w:hAnsi="Arial" w:cs="Arial"/>
                <w:sz w:val="20"/>
                <w:szCs w:val="20"/>
                <w:lang w:val="pl-PL"/>
              </w:rPr>
              <w:t>Kody dotyczące wymiaru zakresu interwencji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D74094" w:rsidRDefault="00757EFC" w:rsidP="005E4D11">
            <w:pPr>
              <w:pStyle w:val="CM1"/>
              <w:tabs>
                <w:tab w:val="left" w:pos="46"/>
              </w:tabs>
              <w:spacing w:before="120" w:after="120" w:line="276" w:lineRule="auto"/>
              <w:ind w:left="45" w:hanging="4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4094">
              <w:rPr>
                <w:rFonts w:ascii="Arial" w:hAnsi="Arial" w:cs="Arial"/>
                <w:sz w:val="20"/>
                <w:szCs w:val="20"/>
              </w:rPr>
              <w:t xml:space="preserve">102 </w:t>
            </w:r>
            <w:r w:rsidRPr="00EE5E90">
              <w:rPr>
                <w:rFonts w:ascii="Arial" w:hAnsi="Arial" w:cs="Arial"/>
              </w:rPr>
              <w:t>–</w:t>
            </w:r>
            <w:r w:rsidRPr="00D74094">
              <w:rPr>
                <w:rFonts w:ascii="Arial" w:hAnsi="Arial" w:cs="Arial"/>
                <w:sz w:val="20"/>
                <w:szCs w:val="20"/>
              </w:rPr>
              <w:t xml:space="preserve">  Dostęp do zatrudnienia dla </w:t>
            </w:r>
            <w:r>
              <w:rPr>
                <w:rFonts w:ascii="Arial" w:hAnsi="Arial" w:cs="Arial"/>
                <w:sz w:val="20"/>
                <w:szCs w:val="20"/>
              </w:rPr>
              <w:t xml:space="preserve">osób poszukujących pracy i osób </w:t>
            </w:r>
            <w:r w:rsidRPr="00D74094">
              <w:rPr>
                <w:rFonts w:ascii="Arial" w:hAnsi="Arial" w:cs="Arial"/>
                <w:sz w:val="20"/>
                <w:szCs w:val="20"/>
              </w:rPr>
              <w:t>biernych zawodowo, w tym długotrwale bezrobotnych i oddalonych od rynku pracy, m.in. poprzez lokalne inicjatywy na rzecz zatrudnienia i wspieranie mobilności pracowników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57EFC" w:rsidRPr="00AA521E" w:rsidTr="005E4D11">
        <w:trPr>
          <w:cantSplit/>
          <w:trHeight w:val="347"/>
        </w:trPr>
        <w:tc>
          <w:tcPr>
            <w:tcW w:w="1754" w:type="pct"/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284"/>
              </w:tabs>
              <w:suppressAutoHyphens/>
              <w:spacing w:before="120" w:after="120"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33A5">
              <w:rPr>
                <w:rFonts w:ascii="Arial" w:hAnsi="Arial" w:cs="Arial"/>
                <w:sz w:val="20"/>
                <w:szCs w:val="20"/>
              </w:rPr>
              <w:t>Typy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33A5">
              <w:rPr>
                <w:rFonts w:ascii="Arial" w:hAnsi="Arial" w:cs="Arial"/>
                <w:sz w:val="20"/>
                <w:szCs w:val="20"/>
              </w:rPr>
              <w:t>beneficjenta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57EFC" w:rsidRPr="003A33A5" w:rsidRDefault="00757EFC" w:rsidP="005E4D11">
            <w:pPr>
              <w:spacing w:after="120" w:line="240" w:lineRule="auto"/>
              <w:ind w:left="42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6" w:type="pct"/>
            <w:shd w:val="clear" w:color="auto" w:fill="auto"/>
            <w:vAlign w:val="center"/>
          </w:tcPr>
          <w:p w:rsidR="00757EFC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W ramach typu projektu </w:t>
            </w:r>
            <w:r w:rsidRPr="0012440A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: </w:t>
            </w:r>
          </w:p>
          <w:p w:rsidR="00757EFC" w:rsidRPr="003A33A5" w:rsidRDefault="00757EFC" w:rsidP="00757EFC">
            <w:pPr>
              <w:numPr>
                <w:ilvl w:val="0"/>
                <w:numId w:val="8"/>
              </w:numPr>
              <w:spacing w:after="0"/>
              <w:ind w:left="329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wszystkie podmioty, z wyłączeniem osób fizycznych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(nie dotyczy osób prowadząc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ych działalność gospodarczą lub 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oświatową na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podstawie przepisów odrębnych).</w:t>
            </w:r>
          </w:p>
          <w:p w:rsidR="00757EFC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W ramach typu projektu </w:t>
            </w:r>
            <w:r w:rsidRPr="0012440A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: </w:t>
            </w:r>
          </w:p>
          <w:p w:rsidR="00757EFC" w:rsidRPr="003A33A5" w:rsidRDefault="00757EFC" w:rsidP="00757EFC">
            <w:pPr>
              <w:numPr>
                <w:ilvl w:val="0"/>
                <w:numId w:val="8"/>
              </w:numPr>
              <w:spacing w:before="120" w:after="120"/>
              <w:ind w:left="330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podmioty, które uzyskały akredytację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ministra właściwego       do spraw pracy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 w zakresie działań EURES.</w:t>
            </w:r>
          </w:p>
        </w:tc>
      </w:tr>
      <w:tr w:rsidR="00757EFC" w:rsidRPr="00AA521E" w:rsidTr="005E4D11">
        <w:trPr>
          <w:cantSplit/>
          <w:trHeight w:val="984"/>
        </w:trPr>
        <w:tc>
          <w:tcPr>
            <w:tcW w:w="1754" w:type="pct"/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284"/>
              </w:tabs>
              <w:suppressAutoHyphens/>
              <w:spacing w:before="120" w:after="120" w:line="240" w:lineRule="auto"/>
              <w:ind w:left="284" w:hanging="284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Grupa docelowa/ ostateczni odbiorcy wsparcia 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br/>
              <w:t>(jeśli dotyczy)</w:t>
            </w:r>
          </w:p>
        </w:tc>
        <w:tc>
          <w:tcPr>
            <w:tcW w:w="3246" w:type="pct"/>
            <w:shd w:val="clear" w:color="auto" w:fill="auto"/>
            <w:vAlign w:val="center"/>
          </w:tcPr>
          <w:p w:rsidR="00757EFC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ramach typu projektu </w:t>
            </w:r>
            <w:r w:rsidRPr="0012440A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  <w:p w:rsidR="00757EFC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Osoby powyżej 29 roku 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życia (tj. od dnia 30 urodzin): </w:t>
            </w:r>
          </w:p>
          <w:p w:rsidR="00757EFC" w:rsidRPr="00AF55DE" w:rsidRDefault="00757EFC" w:rsidP="00757EFC">
            <w:pPr>
              <w:numPr>
                <w:ilvl w:val="0"/>
                <w:numId w:val="8"/>
              </w:numPr>
              <w:spacing w:before="120" w:after="120"/>
              <w:ind w:left="316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bezrobotne </w:t>
            </w:r>
          </w:p>
          <w:p w:rsidR="00757EFC" w:rsidRPr="00AF55DE" w:rsidRDefault="00757EFC" w:rsidP="00757EFC">
            <w:pPr>
              <w:numPr>
                <w:ilvl w:val="0"/>
                <w:numId w:val="8"/>
              </w:numPr>
              <w:spacing w:before="120" w:after="120"/>
              <w:ind w:left="316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poszukujące pracy i nieaktywne/bierne zawodowo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  <w:p w:rsidR="00757EFC" w:rsidRPr="00AF55DE" w:rsidRDefault="00757EFC" w:rsidP="00757EFC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długotrwale bezrobotne, </w:t>
            </w:r>
          </w:p>
          <w:p w:rsidR="00757EFC" w:rsidRPr="00AF55DE" w:rsidRDefault="00757EFC" w:rsidP="00757EFC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osoby niepełnosprawne, </w:t>
            </w:r>
          </w:p>
          <w:p w:rsidR="00757EFC" w:rsidRPr="00AF55DE" w:rsidRDefault="00757EFC" w:rsidP="00757EFC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osoby powyżej 50 roku życia, </w:t>
            </w:r>
          </w:p>
          <w:p w:rsidR="00757EFC" w:rsidRPr="00AF55DE" w:rsidRDefault="00757EFC" w:rsidP="00757EFC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kobiety, </w:t>
            </w:r>
          </w:p>
          <w:p w:rsidR="00757EFC" w:rsidRPr="00AF55DE" w:rsidRDefault="00757EFC" w:rsidP="00757EFC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osoby </w:t>
            </w:r>
            <w:proofErr w:type="spellStart"/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niskowykwalifikowane</w:t>
            </w:r>
            <w:proofErr w:type="spellEnd"/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 (tj. osoby o niskich kwalifikacjach).</w:t>
            </w:r>
          </w:p>
          <w:p w:rsidR="00757EFC" w:rsidRPr="00AF55DE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 xml:space="preserve">W ramach typu projektu </w:t>
            </w:r>
            <w:r w:rsidRPr="0012440A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  <w:p w:rsidR="00757EFC" w:rsidRPr="003A33A5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5DE">
              <w:rPr>
                <w:rFonts w:ascii="Arial" w:hAnsi="Arial" w:cs="Arial"/>
                <w:sz w:val="20"/>
                <w:szCs w:val="20"/>
                <w:lang w:val="pl-PL"/>
              </w:rPr>
              <w:t>Pracodawcy oraz osoby poszukujące pracy (z Unii Europejskiej, Europejskiego Obszaru Gospodarczego 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Szwajcarii).</w:t>
            </w:r>
          </w:p>
        </w:tc>
      </w:tr>
      <w:tr w:rsidR="00757EFC" w:rsidRPr="00AA521E" w:rsidTr="005E4D11">
        <w:trPr>
          <w:cantSplit/>
          <w:trHeight w:val="387"/>
        </w:trPr>
        <w:tc>
          <w:tcPr>
            <w:tcW w:w="17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0E70BD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E70BD">
              <w:rPr>
                <w:rFonts w:ascii="Arial" w:hAnsi="Arial" w:cs="Arial"/>
                <w:sz w:val="20"/>
                <w:szCs w:val="20"/>
                <w:lang w:val="pl-PL"/>
              </w:rPr>
              <w:t>Alokacja UE (EUR)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0E70BD" w:rsidRDefault="00757EFC" w:rsidP="005E4D11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0E70BD">
              <w:rPr>
                <w:rFonts w:ascii="Arial" w:hAnsi="Arial" w:cs="Arial"/>
                <w:sz w:val="20"/>
                <w:szCs w:val="20"/>
                <w:lang w:val="pl-PL"/>
              </w:rPr>
              <w:t>19 787 661</w:t>
            </w:r>
          </w:p>
        </w:tc>
      </w:tr>
      <w:tr w:rsidR="00757EFC" w:rsidRPr="00CC2389" w:rsidTr="005E4D11">
        <w:trPr>
          <w:cantSplit/>
          <w:trHeight w:val="1352"/>
        </w:trPr>
        <w:tc>
          <w:tcPr>
            <w:tcW w:w="1754" w:type="pct"/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Mechanizmy powiązania interwencji z innymi działaniami/ </w:t>
            </w:r>
            <w:proofErr w:type="spellStart"/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poddziałaniami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 w ramach RPO </w:t>
            </w:r>
            <w:proofErr w:type="spellStart"/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WiM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 2014-2020 lub z innymi PO (jeśli dotyczy)</w:t>
            </w:r>
          </w:p>
        </w:tc>
        <w:tc>
          <w:tcPr>
            <w:tcW w:w="3246" w:type="pct"/>
            <w:shd w:val="clear" w:color="auto" w:fill="auto"/>
            <w:vAlign w:val="center"/>
          </w:tcPr>
          <w:p w:rsidR="00757EFC" w:rsidRPr="00CC2389" w:rsidRDefault="00757EFC" w:rsidP="005E4D11">
            <w:pPr>
              <w:spacing w:before="120" w:after="120"/>
              <w:rPr>
                <w:rFonts w:ascii="Arial" w:hAnsi="Arial" w:cs="Arial"/>
                <w:i/>
                <w:color w:val="FF0000"/>
                <w:sz w:val="20"/>
                <w:szCs w:val="20"/>
                <w:u w:val="single"/>
                <w:lang w:val="pl-PL"/>
              </w:rPr>
            </w:pPr>
            <w:r w:rsidRPr="00CC2389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Wsparcie działań miękkich współfinansowanych ze środków EFS będzie mogło być uzupełnione wsparciem infrastrukturalnym współfinansowanym ze środków EFRR – Oś 8 </w:t>
            </w:r>
            <w:r w:rsidRPr="005C1A8C">
              <w:rPr>
                <w:rFonts w:ascii="Arial" w:hAnsi="Arial" w:cs="Arial"/>
                <w:sz w:val="20"/>
                <w:szCs w:val="20"/>
                <w:lang w:val="pl-PL"/>
              </w:rPr>
              <w:t xml:space="preserve">RPO </w:t>
            </w:r>
            <w:proofErr w:type="spellStart"/>
            <w:r w:rsidRPr="005C1A8C">
              <w:rPr>
                <w:rFonts w:ascii="Arial" w:hAnsi="Arial" w:cs="Arial"/>
                <w:sz w:val="20"/>
                <w:szCs w:val="20"/>
                <w:lang w:val="pl-PL"/>
              </w:rPr>
              <w:t>WiM</w:t>
            </w:r>
            <w:proofErr w:type="spellEnd"/>
            <w:r w:rsidRPr="005C1A8C">
              <w:rPr>
                <w:rFonts w:ascii="Arial" w:hAnsi="Arial" w:cs="Arial"/>
                <w:sz w:val="20"/>
                <w:szCs w:val="20"/>
                <w:lang w:val="pl-PL"/>
              </w:rPr>
              <w:t xml:space="preserve">. Ponadto działania w zakresie rewitalizacji będą realizowane w oparciu           o krajowe ramy, przygotowane przez ministra właściwego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 </w:t>
            </w:r>
            <w:r w:rsidRPr="005C1A8C">
              <w:rPr>
                <w:rFonts w:ascii="Arial" w:hAnsi="Arial" w:cs="Arial"/>
                <w:sz w:val="20"/>
                <w:szCs w:val="20"/>
                <w:lang w:val="pl-PL"/>
              </w:rPr>
              <w:t xml:space="preserve">ds. </w:t>
            </w:r>
            <w:proofErr w:type="spellStart"/>
            <w:r w:rsidRPr="005C1A8C">
              <w:rPr>
                <w:rFonts w:ascii="Arial" w:hAnsi="Arial" w:cs="Arial"/>
                <w:sz w:val="20"/>
                <w:szCs w:val="20"/>
                <w:lang w:val="pl-PL"/>
              </w:rPr>
              <w:t>rozwoju</w:t>
            </w:r>
            <w:proofErr w:type="spellEnd"/>
            <w:r w:rsidRPr="005C1A8C">
              <w:rPr>
                <w:rFonts w:ascii="Arial" w:hAnsi="Arial" w:cs="Arial"/>
                <w:sz w:val="20"/>
                <w:szCs w:val="20"/>
                <w:lang w:val="pl-PL"/>
              </w:rPr>
              <w:t xml:space="preserve"> regionalnego.</w:t>
            </w:r>
          </w:p>
        </w:tc>
      </w:tr>
      <w:tr w:rsidR="00757EFC" w:rsidRPr="009708C4" w:rsidTr="005E4D11">
        <w:trPr>
          <w:cantSplit/>
          <w:trHeight w:val="605"/>
        </w:trPr>
        <w:tc>
          <w:tcPr>
            <w:tcW w:w="1754" w:type="pct"/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33A5">
              <w:rPr>
                <w:rFonts w:ascii="Arial" w:hAnsi="Arial" w:cs="Arial"/>
                <w:sz w:val="20"/>
                <w:szCs w:val="20"/>
              </w:rPr>
              <w:t>Instrumenty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33A5">
              <w:rPr>
                <w:rFonts w:ascii="Arial" w:hAnsi="Arial" w:cs="Arial"/>
                <w:sz w:val="20"/>
                <w:szCs w:val="20"/>
              </w:rPr>
              <w:t>terytorialne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</w:rPr>
              <w:br/>
              <w:t>(</w:t>
            </w:r>
            <w:proofErr w:type="spellStart"/>
            <w:r w:rsidRPr="003A33A5">
              <w:rPr>
                <w:rFonts w:ascii="Arial" w:hAnsi="Arial" w:cs="Arial"/>
                <w:sz w:val="20"/>
                <w:szCs w:val="20"/>
              </w:rPr>
              <w:t>jeśli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33A5">
              <w:rPr>
                <w:rFonts w:ascii="Arial" w:hAnsi="Arial" w:cs="Arial"/>
                <w:sz w:val="20"/>
                <w:szCs w:val="20"/>
              </w:rPr>
              <w:t>dotyczy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46" w:type="pct"/>
            <w:shd w:val="clear" w:color="auto" w:fill="auto"/>
            <w:vAlign w:val="center"/>
          </w:tcPr>
          <w:p w:rsidR="00757EFC" w:rsidRPr="003A33A5" w:rsidRDefault="00757EFC" w:rsidP="005E4D11">
            <w:pPr>
              <w:spacing w:after="120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proofErr w:type="spellStart"/>
            <w:r w:rsidRPr="003A33A5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33A5">
              <w:rPr>
                <w:rFonts w:ascii="Arial" w:hAnsi="Arial" w:cs="Arial"/>
                <w:sz w:val="20"/>
                <w:szCs w:val="20"/>
              </w:rPr>
              <w:t>dotyczy</w:t>
            </w:r>
            <w:proofErr w:type="spellEnd"/>
          </w:p>
        </w:tc>
      </w:tr>
      <w:tr w:rsidR="00757EFC" w:rsidRPr="00AA521E" w:rsidTr="005E4D11">
        <w:trPr>
          <w:cantSplit/>
          <w:trHeight w:val="874"/>
        </w:trPr>
        <w:tc>
          <w:tcPr>
            <w:tcW w:w="1754" w:type="pct"/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Tryb(y) wyboru projektów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br/>
              <w:t>oraz wskazanie podmiotu odpowiedzialnego za nabór i ocenę wniosków oraz 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br/>
              <w:t>przyjmowanie protestów</w:t>
            </w:r>
            <w:r w:rsidRPr="003A33A5">
              <w:rPr>
                <w:rStyle w:val="Odwoanieprzypisudolnego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3246" w:type="pct"/>
            <w:shd w:val="clear" w:color="auto" w:fill="auto"/>
            <w:vAlign w:val="center"/>
          </w:tcPr>
          <w:p w:rsidR="00757EFC" w:rsidRDefault="00757EFC" w:rsidP="00757EFC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Tryb konkursowy </w:t>
            </w:r>
          </w:p>
          <w:p w:rsidR="00757EFC" w:rsidRDefault="00757EFC" w:rsidP="00757EFC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Nabór i ocena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 wnio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sków: Wojewódzki Urząd Pracy w 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Olsztynie </w:t>
            </w:r>
          </w:p>
          <w:p w:rsidR="00757EFC" w:rsidRPr="003A33A5" w:rsidRDefault="00757EFC" w:rsidP="00757EFC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Protest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y: 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Wojewódzki Urząd Pracy w Olsztynie</w:t>
            </w:r>
          </w:p>
        </w:tc>
      </w:tr>
      <w:tr w:rsidR="00757EFC" w:rsidRPr="00AA521E" w:rsidDel="00FE3C38" w:rsidTr="005E4D11">
        <w:trPr>
          <w:cantSplit/>
          <w:trHeight w:val="762"/>
        </w:trPr>
        <w:tc>
          <w:tcPr>
            <w:tcW w:w="17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Limity i ograniczenia w realizacji projektów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br/>
              <w:t>(jeśli dotyczy)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DD6893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Główne limity i ograniczenia zostały wskazane w punktach 15-16, 20-22 niniejszego dokumentu. </w:t>
            </w:r>
            <w:r w:rsidRPr="00FB1B46">
              <w:rPr>
                <w:rFonts w:ascii="Arial" w:hAnsi="Arial" w:cs="Arial"/>
                <w:sz w:val="20"/>
                <w:szCs w:val="20"/>
                <w:lang w:val="pl-PL"/>
              </w:rPr>
              <w:t xml:space="preserve">Dodatkowo w </w:t>
            </w:r>
            <w:r w:rsidRPr="00FB1B46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Wytycznych </w:t>
            </w: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               </w:t>
            </w:r>
            <w:r w:rsidRPr="00FB1B46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w zakresie </w:t>
            </w:r>
            <w:proofErr w:type="spellStart"/>
            <w:r w:rsidRPr="00FB1B46">
              <w:rPr>
                <w:rFonts w:ascii="Arial" w:hAnsi="Arial" w:cs="Arial"/>
                <w:i/>
                <w:sz w:val="20"/>
                <w:szCs w:val="20"/>
                <w:lang w:val="pl-PL"/>
              </w:rPr>
              <w:t>kwalifikowalności</w:t>
            </w:r>
            <w:proofErr w:type="spellEnd"/>
            <w:r w:rsidRPr="00FB1B46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 wydatków w zakresie Europejskiego Funduszu Rozwoju Regionalnego, Europejskiego Funduszu </w:t>
            </w:r>
            <w:r w:rsidRPr="00DD6893">
              <w:rPr>
                <w:rFonts w:ascii="Arial" w:hAnsi="Arial" w:cs="Arial"/>
                <w:i/>
                <w:sz w:val="20"/>
                <w:szCs w:val="20"/>
                <w:lang w:val="pl-PL"/>
              </w:rPr>
              <w:t>Społecznego oraz Funduszu Spójności na lata 2014-2020</w:t>
            </w:r>
            <w:r w:rsidRPr="00DD6893">
              <w:rPr>
                <w:rFonts w:ascii="Arial" w:hAnsi="Arial" w:cs="Arial"/>
                <w:sz w:val="20"/>
                <w:szCs w:val="20"/>
                <w:lang w:val="pl-PL"/>
              </w:rPr>
              <w:t xml:space="preserve"> oraz innych dokumentach wdrożeniowych określony został m.in. katalog kosztów specyficznych wskazujący na ewentualne ograniczenia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</w:t>
            </w:r>
            <w:r w:rsidRPr="00DD6893">
              <w:rPr>
                <w:rFonts w:ascii="Arial" w:hAnsi="Arial" w:cs="Arial"/>
                <w:sz w:val="20"/>
                <w:szCs w:val="20"/>
                <w:lang w:val="pl-PL"/>
              </w:rPr>
              <w:t>i limity w realizacji projektów w ramach poszczególnych działań.</w:t>
            </w:r>
          </w:p>
          <w:p w:rsidR="00757EFC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261FB">
              <w:rPr>
                <w:rFonts w:ascii="Arial" w:hAnsi="Arial" w:cs="Arial"/>
                <w:sz w:val="20"/>
                <w:lang w:val="pl-PL"/>
              </w:rPr>
              <w:t xml:space="preserve">Realizacja wsparcia </w:t>
            </w:r>
            <w:r>
              <w:rPr>
                <w:rFonts w:ascii="Arial" w:hAnsi="Arial" w:cs="Arial"/>
                <w:sz w:val="20"/>
                <w:lang w:val="pl-PL"/>
              </w:rPr>
              <w:t xml:space="preserve">będzie odbywać się </w:t>
            </w:r>
            <w:r w:rsidRPr="009261FB">
              <w:rPr>
                <w:rFonts w:ascii="Arial" w:hAnsi="Arial" w:cs="Arial"/>
                <w:sz w:val="20"/>
                <w:lang w:val="pl-PL"/>
              </w:rPr>
              <w:t xml:space="preserve">zgodnie z zapisami RPO </w:t>
            </w:r>
            <w:proofErr w:type="spellStart"/>
            <w:r w:rsidRPr="009261FB">
              <w:rPr>
                <w:rFonts w:ascii="Arial" w:hAnsi="Arial" w:cs="Arial"/>
                <w:sz w:val="20"/>
                <w:lang w:val="pl-PL"/>
              </w:rPr>
              <w:t>WiM</w:t>
            </w:r>
            <w:proofErr w:type="spellEnd"/>
            <w:r>
              <w:rPr>
                <w:rFonts w:ascii="Arial" w:hAnsi="Arial" w:cs="Arial"/>
                <w:sz w:val="20"/>
                <w:lang w:val="pl-PL"/>
              </w:rPr>
              <w:t xml:space="preserve"> 2014-2020</w:t>
            </w:r>
            <w:r w:rsidRPr="009261FB">
              <w:rPr>
                <w:rFonts w:ascii="Arial" w:hAnsi="Arial" w:cs="Arial"/>
                <w:sz w:val="20"/>
                <w:lang w:val="pl-PL"/>
              </w:rPr>
              <w:t xml:space="preserve"> z uwzględnieniem  zasad określonych </w:t>
            </w:r>
            <w:r>
              <w:rPr>
                <w:rFonts w:ascii="Arial" w:hAnsi="Arial" w:cs="Arial"/>
                <w:sz w:val="20"/>
                <w:lang w:val="pl-PL"/>
              </w:rPr>
              <w:t xml:space="preserve">                   </w:t>
            </w:r>
            <w:r w:rsidRPr="009261FB">
              <w:rPr>
                <w:rFonts w:ascii="Arial" w:hAnsi="Arial" w:cs="Arial"/>
                <w:sz w:val="20"/>
                <w:lang w:val="pl-PL"/>
              </w:rPr>
              <w:t>w wytycznych horyzontalnych Ministra Infrastruktury i Rozwoju</w:t>
            </w:r>
            <w:r>
              <w:rPr>
                <w:rFonts w:ascii="Arial" w:hAnsi="Arial" w:cs="Arial"/>
                <w:sz w:val="20"/>
                <w:lang w:val="pl-PL"/>
              </w:rPr>
              <w:t>.</w:t>
            </w:r>
          </w:p>
          <w:p w:rsidR="00757EFC" w:rsidRPr="00C24F29" w:rsidDel="00FE3C38" w:rsidRDefault="00757EFC" w:rsidP="005E4D11">
            <w:pPr>
              <w:spacing w:after="120"/>
              <w:ind w:left="-3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D6893">
              <w:rPr>
                <w:rFonts w:ascii="Arial" w:hAnsi="Arial" w:cs="Arial"/>
                <w:sz w:val="20"/>
                <w:szCs w:val="20"/>
                <w:lang/>
              </w:rPr>
              <w:t xml:space="preserve">Przedsięwzięcia dotyczące aktywizacji zawodowej będą uwzględniały zasadę efektywności zatrudnieniowej w zakresie uregulowanym w wytycznych ministra ds. </w:t>
            </w:r>
            <w:proofErr w:type="spellStart"/>
            <w:r w:rsidRPr="00DD6893">
              <w:rPr>
                <w:rFonts w:ascii="Arial" w:hAnsi="Arial" w:cs="Arial"/>
                <w:sz w:val="20"/>
                <w:szCs w:val="20"/>
                <w:lang/>
              </w:rPr>
              <w:t>rozwoju</w:t>
            </w:r>
            <w:proofErr w:type="spellEnd"/>
            <w:r w:rsidRPr="00DD6893">
              <w:rPr>
                <w:rFonts w:ascii="Arial" w:hAnsi="Arial" w:cs="Arial"/>
                <w:sz w:val="20"/>
                <w:szCs w:val="20"/>
                <w:lang/>
              </w:rPr>
              <w:t xml:space="preserve"> regionalnego</w:t>
            </w:r>
            <w:r w:rsidRPr="00DD6893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757EFC" w:rsidRPr="00AA521E" w:rsidTr="005E4D11">
        <w:trPr>
          <w:cantSplit/>
          <w:trHeight w:val="712"/>
        </w:trPr>
        <w:tc>
          <w:tcPr>
            <w:tcW w:w="1754" w:type="pct"/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Warunki i planowany zakres stosowania 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proofErr w:type="spellStart"/>
            <w:r w:rsidRPr="003A33A5">
              <w:rPr>
                <w:rFonts w:ascii="Arial" w:hAnsi="Arial" w:cs="Arial"/>
                <w:i/>
                <w:sz w:val="20"/>
                <w:szCs w:val="20"/>
                <w:lang w:val="pl-PL"/>
              </w:rPr>
              <w:t>cross-financingu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 (%)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br/>
              <w:t>(jeśli dotyczy)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FB1B46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023C8">
              <w:rPr>
                <w:rFonts w:ascii="Arial" w:hAnsi="Arial" w:cs="Arial"/>
                <w:sz w:val="20"/>
                <w:szCs w:val="20"/>
                <w:lang w:val="pl-PL"/>
              </w:rPr>
              <w:t xml:space="preserve">Do 10% wydatków kwalifikowanych na </w:t>
            </w:r>
            <w:r w:rsidRPr="0081371C">
              <w:rPr>
                <w:rFonts w:ascii="Arial" w:hAnsi="Arial" w:cs="Arial"/>
                <w:sz w:val="20"/>
                <w:szCs w:val="20"/>
                <w:lang w:val="pl-PL"/>
              </w:rPr>
              <w:t xml:space="preserve">warunkach określonych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</w:t>
            </w:r>
            <w:r w:rsidRPr="0081371C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Pr="0081371C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Wytycznych w zakresie </w:t>
            </w:r>
            <w:proofErr w:type="spellStart"/>
            <w:r w:rsidRPr="0081371C">
              <w:rPr>
                <w:rFonts w:ascii="Arial" w:hAnsi="Arial" w:cs="Arial"/>
                <w:i/>
                <w:sz w:val="20"/>
                <w:szCs w:val="20"/>
                <w:lang w:val="pl-PL"/>
              </w:rPr>
              <w:t>kwalifikowalności</w:t>
            </w:r>
            <w:proofErr w:type="spellEnd"/>
            <w:r w:rsidRPr="0081371C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 wydatków w ramach Europejskiego Funduszu Rozwoju Regionalnego, Europejskiego Funduszu Społecznego oraz Funduszu Spójności</w:t>
            </w:r>
            <w:r w:rsidRPr="002023C8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 na lata 2014-2020</w:t>
            </w: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.</w:t>
            </w:r>
          </w:p>
        </w:tc>
      </w:tr>
      <w:tr w:rsidR="00757EFC" w:rsidRPr="00AA521E" w:rsidTr="005E4D11">
        <w:trPr>
          <w:cantSplit/>
          <w:trHeight w:val="840"/>
        </w:trPr>
        <w:tc>
          <w:tcPr>
            <w:tcW w:w="1754" w:type="pct"/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Dopuszczalna maksymalna wartość zakupionych środków trwałych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jako % wydatków </w:t>
            </w:r>
            <w:proofErr w:type="spellStart"/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kwalifikowalnych</w:t>
            </w:r>
            <w:proofErr w:type="spellEnd"/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3A33A5" w:rsidRDefault="00757EFC" w:rsidP="005E4D11">
            <w:pPr>
              <w:pStyle w:val="Default"/>
              <w:spacing w:before="120" w:after="120"/>
              <w:rPr>
                <w:color w:val="auto"/>
                <w:sz w:val="20"/>
                <w:szCs w:val="20"/>
                <w:lang w:eastAsia="en-US"/>
              </w:rPr>
            </w:pPr>
            <w:proofErr w:type="spellStart"/>
            <w:r w:rsidRPr="003A33A5">
              <w:rPr>
                <w:color w:val="auto"/>
                <w:sz w:val="20"/>
                <w:szCs w:val="20"/>
                <w:lang w:eastAsia="en-US"/>
              </w:rPr>
              <w:t>Cross-financing</w:t>
            </w:r>
            <w:proofErr w:type="spellEnd"/>
            <w:r w:rsidRPr="003A33A5">
              <w:rPr>
                <w:color w:val="auto"/>
                <w:sz w:val="20"/>
                <w:szCs w:val="20"/>
                <w:lang w:eastAsia="en-US"/>
              </w:rPr>
              <w:t xml:space="preserve"> i środki trwałe stanowią łącznie nie więcej niż 10% wydatków projektu. </w:t>
            </w:r>
          </w:p>
        </w:tc>
      </w:tr>
      <w:tr w:rsidR="00757EFC" w:rsidRPr="00AA521E" w:rsidTr="005E4D11">
        <w:trPr>
          <w:cantSplit/>
          <w:trHeight w:val="579"/>
        </w:trPr>
        <w:tc>
          <w:tcPr>
            <w:tcW w:w="1754" w:type="pct"/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Warunki uwzględniania dochodu w projekcie 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br/>
              <w:t>(</w:t>
            </w:r>
            <w:r w:rsidRPr="003A33A5">
              <w:rPr>
                <w:rFonts w:ascii="Arial" w:hAnsi="Arial" w:cs="Arial"/>
                <w:i/>
                <w:sz w:val="20"/>
                <w:szCs w:val="20"/>
                <w:lang w:val="pl-PL"/>
              </w:rPr>
              <w:t>jeśli dotyczy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70430A" w:rsidRDefault="00757EFC" w:rsidP="005E4D11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A56C36">
              <w:rPr>
                <w:rFonts w:ascii="Arial" w:hAnsi="Arial" w:cs="Arial"/>
                <w:sz w:val="20"/>
                <w:szCs w:val="20"/>
                <w:lang w:val="pl-PL"/>
              </w:rPr>
              <w:t xml:space="preserve">W przypadku zidentyfikowania dochodu w projektach, zastosowanie mają zapisy </w:t>
            </w:r>
            <w:r w:rsidRPr="00FB1B46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Wytycznych w zakresie </w:t>
            </w:r>
            <w:proofErr w:type="spellStart"/>
            <w:r w:rsidRPr="00FB1B46">
              <w:rPr>
                <w:rFonts w:ascii="Arial" w:hAnsi="Arial" w:cs="Arial"/>
                <w:i/>
                <w:sz w:val="20"/>
                <w:szCs w:val="20"/>
                <w:lang w:val="pl-PL"/>
              </w:rPr>
              <w:t>kwalifikowalności</w:t>
            </w:r>
            <w:proofErr w:type="spellEnd"/>
            <w:r w:rsidRPr="00FB1B46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 wydatków </w:t>
            </w: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    </w:t>
            </w:r>
            <w:r w:rsidRPr="00FB1B46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w zakresie </w:t>
            </w:r>
            <w:r w:rsidRPr="00972BCE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Europejskiego Funduszu </w:t>
            </w:r>
            <w:r w:rsidRPr="0070430A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Rozwoju Regionalnego, Europejskiego Funduszu Społecznego oraz Funduszu Spójności </w:t>
            </w: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  </w:t>
            </w:r>
            <w:r w:rsidRPr="0070430A">
              <w:rPr>
                <w:rFonts w:ascii="Arial" w:hAnsi="Arial" w:cs="Arial"/>
                <w:i/>
                <w:sz w:val="20"/>
                <w:szCs w:val="20"/>
                <w:lang w:val="pl-PL"/>
              </w:rPr>
              <w:t>na lata 2014-2020.</w:t>
            </w:r>
          </w:p>
          <w:p w:rsidR="00757EFC" w:rsidRPr="00C24F29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0430A">
              <w:rPr>
                <w:rFonts w:ascii="Arial" w:hAnsi="Arial" w:cs="Arial"/>
                <w:sz w:val="20"/>
                <w:szCs w:val="20"/>
                <w:lang w:val="pl-PL"/>
              </w:rPr>
              <w:t xml:space="preserve">W przypadku projektów nieobjętych pomocą publiczną zgodnie                     z </w:t>
            </w:r>
            <w:r w:rsidRPr="0070430A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Wytycznymi </w:t>
            </w:r>
            <w:r w:rsidRPr="0070430A"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  <w:t>w zakresie zagadnień związanych z przygotowaniem projektów inwestycyjnych, w tym projektów generujących dochód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  <w:t xml:space="preserve">    </w:t>
            </w:r>
            <w:r w:rsidRPr="0070430A"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  <w:t xml:space="preserve"> i projektów hybrydowych na lata 2014-2020</w:t>
            </w:r>
            <w:r w:rsidRPr="0070430A">
              <w:rPr>
                <w:rFonts w:ascii="Arial" w:hAnsi="Arial" w:cs="Arial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757EFC" w:rsidRPr="00AA521E" w:rsidTr="005E4D11">
        <w:trPr>
          <w:cantSplit/>
          <w:trHeight w:val="902"/>
        </w:trPr>
        <w:tc>
          <w:tcPr>
            <w:tcW w:w="175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Warunki stosowania uproszczonych form rozliczania wydatków i planowany zakres systemu zaliczek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EFC" w:rsidRPr="009261FB" w:rsidRDefault="00757EFC" w:rsidP="005E4D11">
            <w:pPr>
              <w:tabs>
                <w:tab w:val="num" w:pos="-108"/>
                <w:tab w:val="num" w:pos="34"/>
              </w:tabs>
              <w:spacing w:before="40" w:after="40"/>
              <w:ind w:left="34"/>
              <w:rPr>
                <w:rFonts w:ascii="Arial" w:hAnsi="Arial" w:cs="Arial"/>
                <w:sz w:val="20"/>
                <w:lang w:val="pl-PL"/>
              </w:rPr>
            </w:pPr>
            <w:r w:rsidRPr="009261FB">
              <w:rPr>
                <w:rFonts w:ascii="Arial" w:hAnsi="Arial" w:cs="Arial"/>
                <w:sz w:val="20"/>
                <w:lang w:val="pl-PL"/>
              </w:rPr>
              <w:t>Uproszczone formy rozliczania wyd</w:t>
            </w:r>
            <w:r>
              <w:rPr>
                <w:rFonts w:ascii="Arial" w:hAnsi="Arial" w:cs="Arial"/>
                <w:sz w:val="20"/>
                <w:lang w:val="pl-PL"/>
              </w:rPr>
              <w:t>atków mają zastosowanie zgodnie</w:t>
            </w:r>
            <w:r w:rsidRPr="009261FB">
              <w:rPr>
                <w:rFonts w:ascii="Arial" w:hAnsi="Arial" w:cs="Arial"/>
                <w:sz w:val="20"/>
                <w:lang w:val="pl-PL"/>
              </w:rPr>
              <w:t xml:space="preserve"> z </w:t>
            </w:r>
            <w:r w:rsidRPr="00C24F29">
              <w:rPr>
                <w:rFonts w:ascii="Arial" w:hAnsi="Arial" w:cs="Arial"/>
                <w:i/>
                <w:sz w:val="20"/>
                <w:lang w:val="pl-PL"/>
              </w:rPr>
              <w:t xml:space="preserve">Wytycznymi w zakresie </w:t>
            </w:r>
            <w:proofErr w:type="spellStart"/>
            <w:r w:rsidRPr="00C24F29">
              <w:rPr>
                <w:rFonts w:ascii="Arial" w:hAnsi="Arial" w:cs="Arial"/>
                <w:i/>
                <w:sz w:val="20"/>
                <w:lang w:val="pl-PL"/>
              </w:rPr>
              <w:t>kwalifikowalności</w:t>
            </w:r>
            <w:proofErr w:type="spellEnd"/>
            <w:r w:rsidRPr="00C24F29">
              <w:rPr>
                <w:rFonts w:ascii="Arial" w:hAnsi="Arial" w:cs="Arial"/>
                <w:i/>
                <w:sz w:val="20"/>
                <w:lang w:val="pl-PL"/>
              </w:rPr>
              <w:t xml:space="preserve"> wydatków </w:t>
            </w:r>
            <w:r>
              <w:rPr>
                <w:rFonts w:ascii="Arial" w:hAnsi="Arial" w:cs="Arial"/>
                <w:i/>
                <w:sz w:val="20"/>
                <w:lang w:val="pl-PL"/>
              </w:rPr>
              <w:t xml:space="preserve">      </w:t>
            </w:r>
            <w:r w:rsidRPr="00C24F29">
              <w:rPr>
                <w:rFonts w:ascii="Arial" w:hAnsi="Arial" w:cs="Arial"/>
                <w:i/>
                <w:sz w:val="20"/>
                <w:lang w:val="pl-PL"/>
              </w:rPr>
              <w:t>w ramach Europejskiego Funduszu Rozwoju Regionalnego, Europejskiego Funduszu Społecznego oraz Funduszu Spójności na lata 2014-2020</w:t>
            </w:r>
            <w:r w:rsidRPr="009261FB">
              <w:rPr>
                <w:rFonts w:ascii="Arial" w:hAnsi="Arial" w:cs="Arial"/>
                <w:sz w:val="20"/>
                <w:lang w:val="pl-PL"/>
              </w:rPr>
              <w:t>.</w:t>
            </w:r>
          </w:p>
          <w:p w:rsidR="00757EFC" w:rsidRPr="003A33A5" w:rsidRDefault="00757EFC" w:rsidP="005E4D11">
            <w:pPr>
              <w:pStyle w:val="Default"/>
              <w:spacing w:before="120" w:after="120"/>
              <w:rPr>
                <w:sz w:val="20"/>
                <w:szCs w:val="20"/>
              </w:rPr>
            </w:pPr>
            <w:r w:rsidRPr="007A0641">
              <w:rPr>
                <w:sz w:val="20"/>
                <w:szCs w:val="22"/>
              </w:rPr>
              <w:t>Dopuszcza się system zaliczkowy.</w:t>
            </w:r>
          </w:p>
        </w:tc>
      </w:tr>
      <w:tr w:rsidR="00757EFC" w:rsidRPr="00AA521E" w:rsidTr="005E4D11">
        <w:trPr>
          <w:cantSplit/>
          <w:trHeight w:val="820"/>
        </w:trPr>
        <w:tc>
          <w:tcPr>
            <w:tcW w:w="175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EFC" w:rsidRPr="003A33A5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t xml:space="preserve">Pomoc publiczna </w:t>
            </w:r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i pomoc </w:t>
            </w:r>
            <w:r w:rsidRPr="003A33A5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de </w:t>
            </w:r>
            <w:proofErr w:type="spellStart"/>
            <w:r w:rsidRPr="003A33A5">
              <w:rPr>
                <w:rFonts w:ascii="Arial" w:hAnsi="Arial" w:cs="Arial"/>
                <w:i/>
                <w:sz w:val="20"/>
                <w:szCs w:val="20"/>
                <w:lang w:val="pl-PL"/>
              </w:rPr>
              <w:t>minimis</w:t>
            </w:r>
            <w:proofErr w:type="spellEnd"/>
            <w:r w:rsidRPr="003A33A5">
              <w:rPr>
                <w:rFonts w:ascii="Arial" w:hAnsi="Arial" w:cs="Arial"/>
                <w:sz w:val="20"/>
                <w:szCs w:val="20"/>
                <w:lang w:val="pl-PL"/>
              </w:rPr>
              <w:br/>
              <w:t>(rodzaj i przeznaczenie pomocy, unijna lub krajowa podstawa prawna)</w:t>
            </w:r>
            <w:r w:rsidRPr="003A33A5">
              <w:rPr>
                <w:rStyle w:val="Odwoanieprzypisudolnego"/>
                <w:rFonts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EFC" w:rsidRPr="00FB462F" w:rsidRDefault="00757EFC" w:rsidP="005E4D11">
            <w:pPr>
              <w:pStyle w:val="Default"/>
              <w:spacing w:beforeLines="40" w:afterLines="40"/>
              <w:rPr>
                <w:color w:val="auto"/>
                <w:sz w:val="20"/>
                <w:szCs w:val="20"/>
              </w:rPr>
            </w:pPr>
            <w:r w:rsidRPr="00FB462F">
              <w:rPr>
                <w:color w:val="auto"/>
                <w:sz w:val="20"/>
                <w:szCs w:val="20"/>
              </w:rPr>
              <w:t xml:space="preserve">W przypadku wsparcia stanowiącego pomoc publiczną, udzielaną w ramach realizacji programu, znajdą zastosowanie właściwe przepisy prawa wspólnotowego i krajowego dotyczące zasad udzielania tej pomocy, obowiązujące w momencie udzielania wsparcia, w tym: </w:t>
            </w:r>
          </w:p>
          <w:p w:rsidR="00757EFC" w:rsidRPr="00FB462F" w:rsidRDefault="00757EFC" w:rsidP="00757EFC">
            <w:pPr>
              <w:pStyle w:val="Default"/>
              <w:numPr>
                <w:ilvl w:val="0"/>
                <w:numId w:val="9"/>
              </w:numPr>
              <w:spacing w:beforeLines="40" w:afterLines="40"/>
              <w:ind w:left="316" w:hanging="316"/>
              <w:rPr>
                <w:color w:val="auto"/>
                <w:sz w:val="20"/>
                <w:szCs w:val="20"/>
              </w:rPr>
            </w:pPr>
            <w:r w:rsidRPr="00FB462F">
              <w:rPr>
                <w:color w:val="auto"/>
                <w:sz w:val="20"/>
                <w:szCs w:val="20"/>
              </w:rPr>
              <w:t xml:space="preserve">rozporządzenie Komisji (UE) nr 651/2014 z dn. 17 czerwca 2014. uznające niektóre rodzaje pomocy za zgodne z rynkiem wewnętrznym w zastosowaniu art. 107 i 108 Traktatu [GBER] (Dz. Urz. UE L 187 z 26.06.2014) </w:t>
            </w:r>
          </w:p>
          <w:p w:rsidR="00757EFC" w:rsidRDefault="00757EFC" w:rsidP="00757EFC">
            <w:pPr>
              <w:pStyle w:val="Default"/>
              <w:numPr>
                <w:ilvl w:val="0"/>
                <w:numId w:val="9"/>
              </w:numPr>
              <w:spacing w:beforeLines="40" w:afterLines="40"/>
              <w:ind w:left="316" w:hanging="316"/>
              <w:rPr>
                <w:color w:val="auto"/>
                <w:sz w:val="20"/>
                <w:szCs w:val="20"/>
              </w:rPr>
            </w:pPr>
            <w:r w:rsidRPr="00FB462F">
              <w:rPr>
                <w:color w:val="auto"/>
                <w:sz w:val="20"/>
                <w:szCs w:val="20"/>
              </w:rPr>
              <w:t xml:space="preserve">rozporządzenie Komisji (UE) nr 1407/2013 – rozporządzenie </w:t>
            </w:r>
            <w:r>
              <w:rPr>
                <w:color w:val="auto"/>
                <w:sz w:val="20"/>
                <w:szCs w:val="20"/>
              </w:rPr>
              <w:t xml:space="preserve">            </w:t>
            </w:r>
            <w:r w:rsidRPr="00FB462F">
              <w:rPr>
                <w:color w:val="auto"/>
                <w:sz w:val="20"/>
                <w:szCs w:val="20"/>
              </w:rPr>
              <w:t>w sprawie</w:t>
            </w:r>
            <w:r w:rsidRPr="00536009">
              <w:rPr>
                <w:color w:val="auto"/>
                <w:sz w:val="20"/>
                <w:szCs w:val="20"/>
              </w:rPr>
              <w:t xml:space="preserve"> udzielania pomocy de </w:t>
            </w:r>
            <w:proofErr w:type="spellStart"/>
            <w:r w:rsidRPr="00536009">
              <w:rPr>
                <w:color w:val="auto"/>
                <w:sz w:val="20"/>
                <w:szCs w:val="20"/>
              </w:rPr>
              <w:t>minimis</w:t>
            </w:r>
            <w:proofErr w:type="spellEnd"/>
            <w:r w:rsidRPr="00536009">
              <w:rPr>
                <w:color w:val="auto"/>
                <w:sz w:val="20"/>
                <w:szCs w:val="20"/>
              </w:rPr>
              <w:t xml:space="preserve"> w ramach regionalnych programów operacyjnych (Dz. Urz. UE L 352 </w:t>
            </w:r>
            <w:r>
              <w:rPr>
                <w:color w:val="auto"/>
                <w:sz w:val="20"/>
                <w:szCs w:val="20"/>
              </w:rPr>
              <w:t xml:space="preserve">         </w:t>
            </w:r>
            <w:r w:rsidRPr="00536009">
              <w:rPr>
                <w:color w:val="auto"/>
                <w:sz w:val="20"/>
                <w:szCs w:val="20"/>
              </w:rPr>
              <w:t xml:space="preserve">z 24.12.2013) </w:t>
            </w:r>
          </w:p>
          <w:p w:rsidR="00757EFC" w:rsidRPr="00C24F29" w:rsidRDefault="00757EFC" w:rsidP="00757EFC">
            <w:pPr>
              <w:pStyle w:val="Default"/>
              <w:numPr>
                <w:ilvl w:val="0"/>
                <w:numId w:val="9"/>
              </w:numPr>
              <w:spacing w:beforeLines="40" w:afterLines="40"/>
              <w:ind w:left="316" w:hanging="316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rozporządzenie</w:t>
            </w:r>
            <w:r w:rsidRPr="009261FB">
              <w:rPr>
                <w:sz w:val="20"/>
                <w:szCs w:val="20"/>
              </w:rPr>
              <w:t xml:space="preserve"> Ministra Infrastruktury i Rozwoju w sprawie udzielania pomocy de </w:t>
            </w:r>
            <w:proofErr w:type="spellStart"/>
            <w:r w:rsidRPr="009261FB">
              <w:rPr>
                <w:sz w:val="20"/>
                <w:szCs w:val="20"/>
              </w:rPr>
              <w:t>minimis</w:t>
            </w:r>
            <w:proofErr w:type="spellEnd"/>
            <w:r w:rsidRPr="009261FB">
              <w:rPr>
                <w:sz w:val="20"/>
                <w:szCs w:val="20"/>
              </w:rPr>
              <w:t xml:space="preserve"> oraz pomocy publicznej </w:t>
            </w:r>
            <w:r>
              <w:rPr>
                <w:sz w:val="20"/>
                <w:szCs w:val="20"/>
              </w:rPr>
              <w:t xml:space="preserve">              </w:t>
            </w:r>
            <w:r w:rsidRPr="009261FB">
              <w:rPr>
                <w:sz w:val="20"/>
                <w:szCs w:val="20"/>
              </w:rPr>
              <w:t xml:space="preserve">w ramach programów operacyjnych finansowanych </w:t>
            </w:r>
            <w:r>
              <w:rPr>
                <w:sz w:val="20"/>
                <w:szCs w:val="20"/>
              </w:rPr>
              <w:t xml:space="preserve">                   </w:t>
            </w:r>
            <w:r w:rsidRPr="009261FB">
              <w:rPr>
                <w:sz w:val="20"/>
                <w:szCs w:val="20"/>
              </w:rPr>
              <w:t>z Europejskiego Funduszu Społecznego na lata 2014-2020.</w:t>
            </w:r>
          </w:p>
        </w:tc>
      </w:tr>
      <w:tr w:rsidR="00757EFC" w:rsidRPr="00AA521E" w:rsidTr="005E4D11">
        <w:trPr>
          <w:cantSplit/>
          <w:trHeight w:val="1386"/>
        </w:trPr>
        <w:tc>
          <w:tcPr>
            <w:tcW w:w="17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7E256A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 xml:space="preserve">Maksymalny % poziom dofinansowania UE wydatków </w:t>
            </w:r>
            <w:proofErr w:type="spellStart"/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kwalifikowalnych</w:t>
            </w:r>
            <w:proofErr w:type="spellEnd"/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na poziomie projektu </w:t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br/>
              <w:t>(jeśli dotyczy)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153383" w:rsidRDefault="00757EFC" w:rsidP="005E4D11">
            <w:pPr>
              <w:pStyle w:val="Default"/>
              <w:spacing w:before="120"/>
              <w:rPr>
                <w:sz w:val="20"/>
                <w:szCs w:val="20"/>
              </w:rPr>
            </w:pPr>
            <w:r w:rsidRPr="00153383">
              <w:rPr>
                <w:sz w:val="20"/>
                <w:szCs w:val="20"/>
              </w:rPr>
              <w:t xml:space="preserve">Maksymalny udział środków EFS wynosi 85% wydatków kwalifikowanych na poziomie projektu (w przypadku projektów   </w:t>
            </w:r>
            <w:r>
              <w:rPr>
                <w:sz w:val="20"/>
                <w:szCs w:val="20"/>
              </w:rPr>
              <w:t xml:space="preserve">   </w:t>
            </w:r>
            <w:r w:rsidRPr="00153383">
              <w:rPr>
                <w:sz w:val="20"/>
                <w:szCs w:val="20"/>
              </w:rPr>
              <w:t>nie objętych pomocą publiczną i nie generujących dochodu).</w:t>
            </w:r>
          </w:p>
          <w:p w:rsidR="00757EFC" w:rsidRPr="003A33A5" w:rsidRDefault="00757EFC" w:rsidP="005E4D11">
            <w:pPr>
              <w:pStyle w:val="Default"/>
              <w:rPr>
                <w:sz w:val="20"/>
                <w:szCs w:val="20"/>
              </w:rPr>
            </w:pPr>
            <w:r w:rsidRPr="00434E0C">
              <w:rPr>
                <w:sz w:val="20"/>
                <w:szCs w:val="20"/>
              </w:rPr>
              <w:t>Dla projektów podlegających zasadom udzielania pomocy publicznej maksymalny poziom dofinansowania</w:t>
            </w:r>
            <w:r>
              <w:rPr>
                <w:sz w:val="20"/>
                <w:szCs w:val="20"/>
              </w:rPr>
              <w:t xml:space="preserve"> zgodnie                   z zasadami określonym </w:t>
            </w:r>
            <w:r w:rsidRPr="00434E0C">
              <w:rPr>
                <w:sz w:val="20"/>
                <w:szCs w:val="20"/>
              </w:rPr>
              <w:t>w rozporządzeniach dotyczących po</w:t>
            </w:r>
            <w:r>
              <w:rPr>
                <w:sz w:val="20"/>
                <w:szCs w:val="20"/>
              </w:rPr>
              <w:t xml:space="preserve">mocy publicznej, o których mowa </w:t>
            </w:r>
            <w:r w:rsidRPr="00434E0C">
              <w:rPr>
                <w:sz w:val="20"/>
                <w:szCs w:val="20"/>
              </w:rPr>
              <w:t>w punkcie 19.</w:t>
            </w:r>
          </w:p>
        </w:tc>
      </w:tr>
      <w:tr w:rsidR="00757EFC" w:rsidRPr="00AA521E" w:rsidTr="005E4D11">
        <w:trPr>
          <w:cantSplit/>
          <w:trHeight w:val="2360"/>
        </w:trPr>
        <w:tc>
          <w:tcPr>
            <w:tcW w:w="1754" w:type="pct"/>
            <w:shd w:val="clear" w:color="auto" w:fill="auto"/>
            <w:vAlign w:val="center"/>
          </w:tcPr>
          <w:p w:rsidR="00757EFC" w:rsidRPr="007E256A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aksymalny </w:t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 xml:space="preserve">% poziom dofinansowania całkowitego wydatków </w:t>
            </w:r>
            <w:proofErr w:type="spellStart"/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kwalifikowalnych</w:t>
            </w:r>
            <w:proofErr w:type="spellEnd"/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na poziomie projektu </w:t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br/>
              <w:t>(środki UE + ewentualne współfinansowanie z budżetu państwa lub innych źródeł przyznawane beneficjentowi przez właściwą instytucję)</w:t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(jeśli dotyczy) 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AA0C81" w:rsidRDefault="00757EFC" w:rsidP="005E4D1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A0C81">
              <w:rPr>
                <w:rFonts w:ascii="Arial" w:hAnsi="Arial" w:cs="Arial"/>
                <w:sz w:val="20"/>
                <w:szCs w:val="20"/>
                <w:lang w:val="pl-PL"/>
              </w:rPr>
              <w:t>Maksymalny całkowity udział środków publicznych wynosi 95% wydatków kwalifikowanych na poziomie projektu (w przypadku projektów nie objętych pomocą publiczną i nie generujących dochodu).</w:t>
            </w:r>
          </w:p>
          <w:p w:rsidR="00757EFC" w:rsidRPr="007E256A" w:rsidRDefault="00757EFC" w:rsidP="005E4D11">
            <w:pPr>
              <w:pStyle w:val="Default"/>
              <w:spacing w:before="120" w:after="0"/>
              <w:rPr>
                <w:sz w:val="20"/>
                <w:szCs w:val="20"/>
              </w:rPr>
            </w:pPr>
            <w:r w:rsidRPr="00434E0C">
              <w:rPr>
                <w:sz w:val="20"/>
                <w:szCs w:val="20"/>
              </w:rPr>
              <w:t>Dla projektów podlegających zasadom udzielania pomocy publicznej maksymalny poziom dofinansowania</w:t>
            </w:r>
            <w:r>
              <w:rPr>
                <w:sz w:val="20"/>
                <w:szCs w:val="20"/>
              </w:rPr>
              <w:t xml:space="preserve"> zgodnie                  z zasadami określonym </w:t>
            </w:r>
            <w:r w:rsidRPr="00434E0C">
              <w:rPr>
                <w:sz w:val="20"/>
                <w:szCs w:val="20"/>
              </w:rPr>
              <w:t>w rozporządzeniach dotyczących po</w:t>
            </w:r>
            <w:r>
              <w:rPr>
                <w:sz w:val="20"/>
                <w:szCs w:val="20"/>
              </w:rPr>
              <w:t xml:space="preserve">mocy publicznej, o których mowa </w:t>
            </w:r>
            <w:r w:rsidRPr="00434E0C">
              <w:rPr>
                <w:sz w:val="20"/>
                <w:szCs w:val="20"/>
              </w:rPr>
              <w:t>w punkcie 19.</w:t>
            </w:r>
          </w:p>
        </w:tc>
      </w:tr>
      <w:tr w:rsidR="00757EFC" w:rsidRPr="00AA521E" w:rsidTr="005E4D11">
        <w:trPr>
          <w:cantSplit/>
          <w:trHeight w:val="658"/>
        </w:trPr>
        <w:tc>
          <w:tcPr>
            <w:tcW w:w="1754" w:type="pct"/>
            <w:shd w:val="clear" w:color="auto" w:fill="auto"/>
            <w:vAlign w:val="center"/>
          </w:tcPr>
          <w:p w:rsidR="00757EFC" w:rsidRPr="007E256A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 xml:space="preserve">Minimalny wkład własny beneficjenta jako % wydatków </w:t>
            </w:r>
            <w:proofErr w:type="spellStart"/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kwalifikowalnych</w:t>
            </w:r>
            <w:proofErr w:type="spellEnd"/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Default="00757EFC" w:rsidP="005E4D11">
            <w:pPr>
              <w:spacing w:beforeLines="40" w:afterLines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261FB">
              <w:rPr>
                <w:rFonts w:ascii="Arial" w:hAnsi="Arial" w:cs="Arial"/>
                <w:sz w:val="20"/>
                <w:szCs w:val="20"/>
                <w:lang w:val="pl-PL"/>
              </w:rPr>
              <w:t xml:space="preserve">Minimalny wkład własny, jaki Beneficjent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zobowiązany jest zabezpieczyć, </w:t>
            </w:r>
            <w:r w:rsidRPr="009261FB">
              <w:rPr>
                <w:rFonts w:ascii="Arial" w:hAnsi="Arial" w:cs="Arial"/>
                <w:sz w:val="20"/>
                <w:szCs w:val="20"/>
                <w:lang w:val="pl-PL"/>
              </w:rPr>
              <w:t xml:space="preserve">w przypadku projektów nieobjętych pomocą publiczną i niegenerujących dochodu, wynosi 5% całkowitych wydatków </w:t>
            </w:r>
            <w:proofErr w:type="spellStart"/>
            <w:r w:rsidRPr="009261FB">
              <w:rPr>
                <w:rFonts w:ascii="Arial" w:hAnsi="Arial" w:cs="Arial"/>
                <w:sz w:val="20"/>
                <w:szCs w:val="20"/>
                <w:lang w:val="pl-PL"/>
              </w:rPr>
              <w:t>kwalifikowalnych</w:t>
            </w:r>
            <w:proofErr w:type="spellEnd"/>
            <w:r w:rsidRPr="009261FB">
              <w:rPr>
                <w:rFonts w:ascii="Arial" w:hAnsi="Arial" w:cs="Arial"/>
                <w:sz w:val="20"/>
                <w:szCs w:val="20"/>
                <w:lang w:val="pl-PL"/>
              </w:rPr>
              <w:t xml:space="preserve"> w ramach projektu.</w:t>
            </w:r>
          </w:p>
          <w:p w:rsidR="00757EFC" w:rsidRPr="004C68E0" w:rsidRDefault="00757EFC" w:rsidP="005E4D11">
            <w:pPr>
              <w:spacing w:beforeLines="40" w:afterLines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C68E0">
              <w:rPr>
                <w:rFonts w:ascii="Arial" w:hAnsi="Arial" w:cs="Arial"/>
                <w:sz w:val="20"/>
                <w:szCs w:val="20"/>
                <w:lang w:val="pl-PL"/>
              </w:rPr>
              <w:t xml:space="preserve">Dla projektów podlegających zasadom udzielania pomocy publicznej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minimalny wkład własny Beneficjenta wynika z zasad określonych</w:t>
            </w:r>
            <w:r w:rsidRPr="004C68E0">
              <w:rPr>
                <w:rFonts w:ascii="Arial" w:hAnsi="Arial" w:cs="Arial"/>
                <w:sz w:val="20"/>
                <w:szCs w:val="20"/>
                <w:lang w:val="pl-PL"/>
              </w:rPr>
              <w:t xml:space="preserve"> w rozporządzeniach dotyczących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udzielania </w:t>
            </w:r>
            <w:r w:rsidRPr="004C68E0">
              <w:rPr>
                <w:rFonts w:ascii="Arial" w:hAnsi="Arial" w:cs="Arial"/>
                <w:sz w:val="20"/>
                <w:szCs w:val="20"/>
                <w:lang w:val="pl-PL"/>
              </w:rPr>
              <w:t>po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mocy publicznej, o </w:t>
            </w:r>
            <w:r w:rsidRPr="004C68E0">
              <w:rPr>
                <w:rFonts w:ascii="Arial" w:hAnsi="Arial" w:cs="Arial"/>
                <w:sz w:val="20"/>
                <w:szCs w:val="20"/>
                <w:lang w:val="pl-PL"/>
              </w:rPr>
              <w:t>których mowa w punkcie 19.</w:t>
            </w:r>
          </w:p>
        </w:tc>
      </w:tr>
      <w:tr w:rsidR="00757EFC" w:rsidRPr="00AA521E" w:rsidTr="005E4D11">
        <w:trPr>
          <w:cantSplit/>
          <w:trHeight w:val="562"/>
        </w:trPr>
        <w:tc>
          <w:tcPr>
            <w:tcW w:w="1754" w:type="pct"/>
            <w:shd w:val="clear" w:color="auto" w:fill="auto"/>
            <w:vAlign w:val="center"/>
          </w:tcPr>
          <w:p w:rsidR="00757EFC" w:rsidRPr="007E256A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 xml:space="preserve">Minimalna i maksymalna wartość projektu (PLN)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 xml:space="preserve">(jeśli dotyczy) 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Default="00757EFC" w:rsidP="005E4D11">
            <w:pPr>
              <w:spacing w:before="40" w:after="40"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757EFC" w:rsidRPr="003024AE" w:rsidRDefault="00757EFC" w:rsidP="005E4D11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24AE">
              <w:rPr>
                <w:rFonts w:ascii="Arial" w:hAnsi="Arial" w:cs="Arial"/>
                <w:sz w:val="20"/>
                <w:szCs w:val="20"/>
                <w:lang w:val="pl-PL"/>
              </w:rPr>
              <w:t>Minimalna i maksymalna wartość projektu zostanie określona kryteriach wyboru projektu lub w Regulaminie Konkursu.</w:t>
            </w:r>
          </w:p>
          <w:p w:rsidR="00757EFC" w:rsidRPr="003024AE" w:rsidRDefault="00757EFC" w:rsidP="005E4D11">
            <w:pPr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57EFC" w:rsidRPr="00AA521E" w:rsidTr="005E4D11">
        <w:trPr>
          <w:cantSplit/>
          <w:trHeight w:val="717"/>
        </w:trPr>
        <w:tc>
          <w:tcPr>
            <w:tcW w:w="1754" w:type="pct"/>
            <w:shd w:val="clear" w:color="auto" w:fill="auto"/>
            <w:vAlign w:val="center"/>
          </w:tcPr>
          <w:p w:rsidR="00757EFC" w:rsidRPr="007E256A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 xml:space="preserve">Minimalna i maksymalna wartość wydatków </w:t>
            </w:r>
            <w:proofErr w:type="spellStart"/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kwalifikowalnych</w:t>
            </w:r>
            <w:proofErr w:type="spellEnd"/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 xml:space="preserve"> projektu (PLN) (jeśli dotyczy)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0D77C8" w:rsidRDefault="00757EFC" w:rsidP="005E4D11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24AE">
              <w:rPr>
                <w:rFonts w:ascii="Arial" w:hAnsi="Arial" w:cs="Arial"/>
                <w:sz w:val="20"/>
                <w:szCs w:val="20"/>
                <w:lang w:val="pl-PL"/>
              </w:rPr>
              <w:t xml:space="preserve">Minimalna i maksymalna wartość wydatków </w:t>
            </w:r>
            <w:proofErr w:type="spellStart"/>
            <w:r w:rsidRPr="003024AE">
              <w:rPr>
                <w:rFonts w:ascii="Arial" w:hAnsi="Arial" w:cs="Arial"/>
                <w:sz w:val="20"/>
                <w:szCs w:val="20"/>
                <w:lang w:val="pl-PL"/>
              </w:rPr>
              <w:t>kwalifikowalnych</w:t>
            </w:r>
            <w:proofErr w:type="spellEnd"/>
            <w:r w:rsidRPr="003024AE">
              <w:rPr>
                <w:rFonts w:ascii="Arial" w:hAnsi="Arial" w:cs="Arial"/>
                <w:sz w:val="20"/>
                <w:szCs w:val="20"/>
                <w:lang w:val="pl-PL"/>
              </w:rPr>
              <w:t xml:space="preserve"> zostanie określona w kryteriach wyboru projektu lub Regulaminie Konkursu.</w:t>
            </w:r>
          </w:p>
        </w:tc>
      </w:tr>
      <w:tr w:rsidR="00757EFC" w:rsidRPr="009708C4" w:rsidTr="005E4D11">
        <w:trPr>
          <w:cantSplit/>
          <w:trHeight w:val="720"/>
        </w:trPr>
        <w:tc>
          <w:tcPr>
            <w:tcW w:w="1754" w:type="pct"/>
            <w:shd w:val="clear" w:color="auto" w:fill="auto"/>
            <w:vAlign w:val="center"/>
          </w:tcPr>
          <w:p w:rsidR="00757EFC" w:rsidRPr="007E256A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Kwota alokacji UE na instrumenty finansowe</w:t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(EUR) (jeśli dotyczy) 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8E37CB" w:rsidRDefault="00757EFC" w:rsidP="005E4D11">
            <w:pPr>
              <w:spacing w:after="12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37CB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8E37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37CB">
              <w:rPr>
                <w:rFonts w:ascii="Arial" w:hAnsi="Arial" w:cs="Arial"/>
                <w:sz w:val="20"/>
                <w:szCs w:val="20"/>
              </w:rPr>
              <w:t>dotyczy</w:t>
            </w:r>
            <w:proofErr w:type="spellEnd"/>
          </w:p>
        </w:tc>
      </w:tr>
      <w:tr w:rsidR="00757EFC" w:rsidRPr="009708C4" w:rsidTr="005E4D11">
        <w:trPr>
          <w:cantSplit/>
          <w:trHeight w:val="566"/>
        </w:trPr>
        <w:tc>
          <w:tcPr>
            <w:tcW w:w="1754" w:type="pct"/>
            <w:shd w:val="clear" w:color="auto" w:fill="auto"/>
            <w:vAlign w:val="center"/>
          </w:tcPr>
          <w:p w:rsidR="00757EFC" w:rsidRPr="007E256A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256A">
              <w:rPr>
                <w:rFonts w:ascii="Arial" w:hAnsi="Arial" w:cs="Arial"/>
                <w:sz w:val="20"/>
                <w:szCs w:val="20"/>
              </w:rPr>
              <w:t>Mechanizm</w:t>
            </w:r>
            <w:proofErr w:type="spellEnd"/>
            <w:r w:rsidRPr="007E25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E256A">
              <w:rPr>
                <w:rFonts w:ascii="Arial" w:hAnsi="Arial" w:cs="Arial"/>
                <w:sz w:val="20"/>
                <w:szCs w:val="20"/>
              </w:rPr>
              <w:t>wdrażania</w:t>
            </w:r>
            <w:proofErr w:type="spellEnd"/>
            <w:r w:rsidRPr="007E25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E256A">
              <w:rPr>
                <w:rFonts w:ascii="Arial" w:hAnsi="Arial" w:cs="Arial"/>
                <w:sz w:val="20"/>
                <w:szCs w:val="20"/>
              </w:rPr>
              <w:t>instrumentów</w:t>
            </w:r>
            <w:proofErr w:type="spellEnd"/>
            <w:r w:rsidRPr="007E256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E256A">
              <w:rPr>
                <w:rFonts w:ascii="Arial" w:hAnsi="Arial" w:cs="Arial"/>
                <w:sz w:val="20"/>
                <w:szCs w:val="20"/>
              </w:rPr>
              <w:t>finansowych</w:t>
            </w:r>
            <w:proofErr w:type="spellEnd"/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8E37CB" w:rsidRDefault="00757EFC" w:rsidP="005E4D11">
            <w:pPr>
              <w:spacing w:after="12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37CB"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 w:rsidRPr="008E37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37CB">
              <w:rPr>
                <w:rFonts w:ascii="Arial" w:hAnsi="Arial" w:cs="Arial"/>
                <w:sz w:val="20"/>
                <w:szCs w:val="20"/>
              </w:rPr>
              <w:t>dotyczy</w:t>
            </w:r>
            <w:proofErr w:type="spellEnd"/>
          </w:p>
        </w:tc>
      </w:tr>
      <w:tr w:rsidR="00757EFC" w:rsidRPr="009642A5" w:rsidTr="005E4D11">
        <w:trPr>
          <w:cantSplit/>
          <w:trHeight w:val="897"/>
        </w:trPr>
        <w:tc>
          <w:tcPr>
            <w:tcW w:w="1754" w:type="pct"/>
            <w:shd w:val="clear" w:color="auto" w:fill="auto"/>
            <w:vAlign w:val="center"/>
          </w:tcPr>
          <w:p w:rsidR="00757EFC" w:rsidRPr="007E256A" w:rsidRDefault="00757EFC" w:rsidP="00757EFC">
            <w:pPr>
              <w:numPr>
                <w:ilvl w:val="0"/>
                <w:numId w:val="2"/>
              </w:numPr>
              <w:tabs>
                <w:tab w:val="clear" w:pos="900"/>
                <w:tab w:val="num" w:pos="426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Rodzaj ws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parcia instrumentów finansowych o</w:t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raz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 najważniejsze warunki przyznawania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9642A5" w:rsidRDefault="00757EFC" w:rsidP="005E4D11">
            <w:pPr>
              <w:spacing w:after="12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642A5">
              <w:rPr>
                <w:rFonts w:ascii="Arial" w:hAnsi="Arial" w:cs="Arial"/>
                <w:sz w:val="20"/>
                <w:szCs w:val="20"/>
                <w:lang w:val="pl-PL"/>
              </w:rPr>
              <w:t>Nie dotyczy</w:t>
            </w:r>
          </w:p>
        </w:tc>
      </w:tr>
      <w:tr w:rsidR="00757EFC" w:rsidRPr="009642A5" w:rsidTr="005E4D11">
        <w:trPr>
          <w:cantSplit/>
          <w:trHeight w:val="621"/>
        </w:trPr>
        <w:tc>
          <w:tcPr>
            <w:tcW w:w="1754" w:type="pct"/>
            <w:shd w:val="clear" w:color="auto" w:fill="auto"/>
            <w:vAlign w:val="center"/>
          </w:tcPr>
          <w:p w:rsidR="00757EFC" w:rsidRPr="007E256A" w:rsidRDefault="00757EFC" w:rsidP="00757EFC">
            <w:pPr>
              <w:numPr>
                <w:ilvl w:val="0"/>
                <w:numId w:val="2"/>
              </w:numPr>
              <w:tabs>
                <w:tab w:val="clear" w:pos="900"/>
              </w:tabs>
              <w:suppressAutoHyphens/>
              <w:spacing w:before="120" w:after="120" w:line="240" w:lineRule="auto"/>
              <w:ind w:left="426" w:hanging="426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256A">
              <w:rPr>
                <w:rFonts w:ascii="Arial" w:hAnsi="Arial" w:cs="Arial"/>
                <w:sz w:val="20"/>
                <w:szCs w:val="20"/>
                <w:lang w:val="pl-PL"/>
              </w:rPr>
              <w:t>Katalog ostatecznych odbiorców instrumentów finansowych</w:t>
            </w:r>
          </w:p>
        </w:tc>
        <w:tc>
          <w:tcPr>
            <w:tcW w:w="324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7EFC" w:rsidRPr="009642A5" w:rsidRDefault="00757EFC" w:rsidP="005E4D11">
            <w:pPr>
              <w:spacing w:after="120" w:line="240" w:lineRule="auto"/>
              <w:jc w:val="lef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642A5">
              <w:rPr>
                <w:rFonts w:ascii="Arial" w:hAnsi="Arial" w:cs="Arial"/>
                <w:sz w:val="20"/>
                <w:szCs w:val="20"/>
                <w:lang w:val="pl-PL"/>
              </w:rPr>
              <w:t>Nie dotyczy</w:t>
            </w:r>
          </w:p>
        </w:tc>
      </w:tr>
    </w:tbl>
    <w:p w:rsidR="003668E7" w:rsidRDefault="003668E7"/>
    <w:sectPr w:rsidR="003668E7" w:rsidSect="00366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68A" w:rsidRDefault="00B6368A" w:rsidP="00757EFC">
      <w:pPr>
        <w:spacing w:after="0" w:line="240" w:lineRule="auto"/>
      </w:pPr>
      <w:r>
        <w:separator/>
      </w:r>
    </w:p>
  </w:endnote>
  <w:endnote w:type="continuationSeparator" w:id="0">
    <w:p w:rsidR="00B6368A" w:rsidRDefault="00B6368A" w:rsidP="00757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68A" w:rsidRDefault="00B6368A" w:rsidP="00757EFC">
      <w:pPr>
        <w:spacing w:after="0" w:line="240" w:lineRule="auto"/>
      </w:pPr>
      <w:r>
        <w:separator/>
      </w:r>
    </w:p>
  </w:footnote>
  <w:footnote w:type="continuationSeparator" w:id="0">
    <w:p w:rsidR="00B6368A" w:rsidRDefault="00B6368A" w:rsidP="00757EFC">
      <w:pPr>
        <w:spacing w:after="0" w:line="240" w:lineRule="auto"/>
      </w:pPr>
      <w:r>
        <w:continuationSeparator/>
      </w:r>
    </w:p>
  </w:footnote>
  <w:footnote w:id="1">
    <w:p w:rsidR="00757EFC" w:rsidRDefault="00757EFC" w:rsidP="00757EFC">
      <w:pPr>
        <w:pStyle w:val="Tekstprzypisudolnego"/>
      </w:pPr>
      <w:r>
        <w:rPr>
          <w:rStyle w:val="Odwoanieprzypisudolnego"/>
        </w:rPr>
        <w:footnoteRef/>
      </w:r>
      <w:r>
        <w:t xml:space="preserve"> Tryb konkursowy, pozakonkursowy i np. zasady wyboru projektów zintegrowanych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5374"/>
    <w:multiLevelType w:val="hybridMultilevel"/>
    <w:tmpl w:val="83549786"/>
    <w:lvl w:ilvl="0" w:tplc="773476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0"/>
        <w:szCs w:val="2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3D36A0"/>
    <w:multiLevelType w:val="hybridMultilevel"/>
    <w:tmpl w:val="CBECC930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70"/>
    <w:multiLevelType w:val="hybridMultilevel"/>
    <w:tmpl w:val="698E01FE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13E32"/>
    <w:multiLevelType w:val="hybridMultilevel"/>
    <w:tmpl w:val="17B61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07363"/>
    <w:multiLevelType w:val="hybridMultilevel"/>
    <w:tmpl w:val="ADA65FBA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4590C"/>
    <w:multiLevelType w:val="hybridMultilevel"/>
    <w:tmpl w:val="30EAC7DA"/>
    <w:lvl w:ilvl="0" w:tplc="AABA0E3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E7D09"/>
    <w:multiLevelType w:val="hybridMultilevel"/>
    <w:tmpl w:val="C8F29A9C"/>
    <w:lvl w:ilvl="0" w:tplc="DA80FB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A456A"/>
    <w:multiLevelType w:val="hybridMultilevel"/>
    <w:tmpl w:val="51489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31FC6"/>
    <w:multiLevelType w:val="hybridMultilevel"/>
    <w:tmpl w:val="9462D9E0"/>
    <w:lvl w:ilvl="0" w:tplc="F9362F3C">
      <w:start w:val="1"/>
      <w:numFmt w:val="lowerLetter"/>
      <w:lvlText w:val="%1)"/>
      <w:lvlJc w:val="left"/>
      <w:pPr>
        <w:ind w:left="105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9">
    <w:nsid w:val="67D637B3"/>
    <w:multiLevelType w:val="hybridMultilevel"/>
    <w:tmpl w:val="605E8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EFC"/>
    <w:rsid w:val="000A0E43"/>
    <w:rsid w:val="003668E7"/>
    <w:rsid w:val="003E5FBF"/>
    <w:rsid w:val="00757EFC"/>
    <w:rsid w:val="00A14BDD"/>
    <w:rsid w:val="00B63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EFC"/>
    <w:pPr>
      <w:jc w:val="both"/>
    </w:pPr>
    <w:rPr>
      <w:rFonts w:ascii="Calibri" w:eastAsia="Times New Roman" w:hAnsi="Calibri"/>
      <w:kern w:val="0"/>
      <w:sz w:val="22"/>
      <w:szCs w:val="22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57EFC"/>
    <w:pPr>
      <w:spacing w:before="200" w:after="0"/>
      <w:outlineLvl w:val="1"/>
    </w:pPr>
    <w:rPr>
      <w:rFonts w:ascii="Cambria" w:hAnsi="Cambria"/>
      <w:b/>
      <w:bCs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57EFC"/>
    <w:rPr>
      <w:rFonts w:ascii="Cambria" w:eastAsia="Times New Roman" w:hAnsi="Cambria"/>
      <w:b/>
      <w:bCs/>
      <w:kern w:val="0"/>
      <w:sz w:val="26"/>
      <w:szCs w:val="26"/>
      <w:lang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rsid w:val="00757EFC"/>
    <w:pPr>
      <w:spacing w:line="240" w:lineRule="auto"/>
      <w:jc w:val="left"/>
    </w:pPr>
    <w:rPr>
      <w:rFonts w:ascii="Arial" w:hAnsi="Arial" w:cs="Tahoma"/>
      <w:sz w:val="16"/>
      <w:szCs w:val="20"/>
      <w:lang w:val="pl-PL" w:bidi="ar-SA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757EFC"/>
    <w:rPr>
      <w:rFonts w:ascii="Arial" w:eastAsia="Times New Roman" w:hAnsi="Arial" w:cs="Tahoma"/>
      <w:kern w:val="0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57EFC"/>
    <w:rPr>
      <w:rFonts w:ascii="Arial" w:hAnsi="Arial" w:cs="Times New Roman"/>
      <w:sz w:val="16"/>
      <w:shd w:val="clear" w:color="auto" w:fill="auto"/>
      <w:vertAlign w:val="superscript"/>
    </w:rPr>
  </w:style>
  <w:style w:type="paragraph" w:customStyle="1" w:styleId="Default">
    <w:name w:val="Default"/>
    <w:uiPriority w:val="99"/>
    <w:rsid w:val="00757EFC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kern w:val="0"/>
      <w:lang w:eastAsia="pl-PL"/>
    </w:rPr>
  </w:style>
  <w:style w:type="paragraph" w:customStyle="1" w:styleId="CM1">
    <w:name w:val="CM1"/>
    <w:basedOn w:val="Default"/>
    <w:next w:val="Default"/>
    <w:uiPriority w:val="99"/>
    <w:rsid w:val="00757EFC"/>
    <w:pPr>
      <w:spacing w:after="0" w:line="240" w:lineRule="auto"/>
      <w:jc w:val="left"/>
    </w:pPr>
    <w:rPr>
      <w:rFonts w:ascii="EUAlbertina" w:hAnsi="EUAlbertina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1731</Words>
  <Characters>10388</Characters>
  <Application>Microsoft Office Word</Application>
  <DocSecurity>0</DocSecurity>
  <Lines>86</Lines>
  <Paragraphs>24</Paragraphs>
  <ScaleCrop>false</ScaleCrop>
  <Company/>
  <LinksUpToDate>false</LinksUpToDate>
  <CharactersWithSpaces>12095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ksatkiewicz</dc:creator>
  <cp:lastModifiedBy>ksatkiewicz</cp:lastModifiedBy>
  <cp:revision>1</cp:revision>
  <dcterms:created xsi:type="dcterms:W3CDTF">2015-11-04T08:31:00Z</dcterms:created>
  <dcterms:modified xsi:type="dcterms:W3CDTF">2015-11-04T08:32:00Z</dcterms:modified>
</cp:coreProperties>
</file>